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741F10" w:rsidRPr="002420A4" w14:paraId="5FC24781" w14:textId="77777777" w:rsidTr="002420A4">
        <w:tc>
          <w:tcPr>
            <w:tcW w:w="9180" w:type="dxa"/>
            <w:gridSpan w:val="5"/>
            <w:shd w:val="clear" w:color="auto" w:fill="92D050"/>
          </w:tcPr>
          <w:p w14:paraId="0E75FEF2" w14:textId="2A6C6E40" w:rsidR="00741F10" w:rsidRPr="002420A4" w:rsidRDefault="00741F10" w:rsidP="006A496F">
            <w:pPr>
              <w:tabs>
                <w:tab w:val="left" w:pos="3110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Criteria 5 : </w:t>
            </w:r>
            <w:bookmarkEnd w:id="0"/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Academic Staff</w:t>
            </w:r>
          </w:p>
        </w:tc>
      </w:tr>
      <w:tr w:rsidR="00F969BD" w:rsidRPr="002420A4" w14:paraId="5A93C091" w14:textId="77777777" w:rsidTr="002420A4">
        <w:tc>
          <w:tcPr>
            <w:tcW w:w="1101" w:type="dxa"/>
            <w:hideMark/>
          </w:tcPr>
          <w:p w14:paraId="5E42D4F6" w14:textId="6B370EB4" w:rsidR="00F969BD" w:rsidRPr="002420A4" w:rsidRDefault="00F969B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</w:t>
            </w:r>
            <w:r w:rsidR="00741F10"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q-5.</w:t>
            </w:r>
            <w:r w:rsidR="000F1BF5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3" w:type="dxa"/>
            <w:hideMark/>
          </w:tcPr>
          <w:p w14:paraId="44F0C360" w14:textId="77777777" w:rsidR="00F969BD" w:rsidRPr="002420A4" w:rsidRDefault="00F969B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0049B41B" w:rsidR="00F969BD" w:rsidRPr="000F1BF5" w:rsidRDefault="000F1BF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F1BF5">
              <w:rPr>
                <w:rFonts w:ascii="TH Niramit AS" w:hAnsi="TH Niramit AS" w:cs="TH Niramit AS"/>
                <w:sz w:val="32"/>
                <w:szCs w:val="32"/>
              </w:rPr>
              <w:t>The programme to show that the competences of the academic staff are determined, evaluated, and communicated.</w:t>
            </w:r>
          </w:p>
        </w:tc>
      </w:tr>
      <w:tr w:rsidR="00F969BD" w:rsidRPr="002420A4" w14:paraId="14E48787" w14:textId="77777777" w:rsidTr="002420A4">
        <w:tc>
          <w:tcPr>
            <w:tcW w:w="2260" w:type="dxa"/>
            <w:gridSpan w:val="3"/>
            <w:hideMark/>
          </w:tcPr>
          <w:p w14:paraId="58A1845F" w14:textId="77777777" w:rsidR="00F969BD" w:rsidRPr="002420A4" w:rsidRDefault="00F969B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2420A4" w:rsidRDefault="00F969B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1537B341" w14:textId="2A4D6EAB" w:rsidR="00F969BD" w:rsidRPr="002420A4" w:rsidRDefault="000F1BF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รัตติกาล  ณ วิชัย</w:t>
            </w:r>
            <w:r w:rsidR="00F969BD" w:rsidRPr="002420A4"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</w:p>
        </w:tc>
      </w:tr>
      <w:tr w:rsidR="00F969BD" w:rsidRPr="002420A4" w14:paraId="26F8E87D" w14:textId="77777777" w:rsidTr="002420A4">
        <w:tc>
          <w:tcPr>
            <w:tcW w:w="2260" w:type="dxa"/>
            <w:gridSpan w:val="3"/>
            <w:hideMark/>
          </w:tcPr>
          <w:p w14:paraId="1E300163" w14:textId="77777777" w:rsidR="00F969BD" w:rsidRPr="002420A4" w:rsidRDefault="00F969B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2420A4" w:rsidRDefault="00F969B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72D315D1" w14:textId="1F912FFF" w:rsidR="00F969BD" w:rsidRPr="002420A4" w:rsidRDefault="000F1BF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ฝ่ายพัฒนาทรัพยากรมนุษย์</w:t>
            </w:r>
          </w:p>
        </w:tc>
      </w:tr>
    </w:tbl>
    <w:p w14:paraId="35FBDD1A" w14:textId="77777777" w:rsidR="00F969BD" w:rsidRPr="002420A4" w:rsidRDefault="00F969BD" w:rsidP="00F969BD">
      <w:pPr>
        <w:jc w:val="thaiDistribute"/>
        <w:rPr>
          <w:rFonts w:ascii="TH Niramit AS" w:eastAsia="Times New Roman" w:hAnsi="TH Niramit AS" w:cs="TH Niramit AS"/>
          <w:sz w:val="32"/>
          <w:szCs w:val="32"/>
          <w:cs/>
        </w:rPr>
      </w:pPr>
    </w:p>
    <w:p w14:paraId="1A5DF22F" w14:textId="77777777" w:rsidR="00F969BD" w:rsidRPr="002420A4" w:rsidRDefault="00F969BD" w:rsidP="00F969BD">
      <w:pPr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  <w:cs/>
        </w:rPr>
      </w:pPr>
      <w:r w:rsidRPr="002420A4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2BFA7A5B" w14:textId="77777777" w:rsidR="002420A4" w:rsidRDefault="002420A4" w:rsidP="00EA7451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5A34A12A" w14:textId="0BCF9892" w:rsidR="00600541" w:rsidRPr="00600541" w:rsidRDefault="00600541" w:rsidP="0060054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600541">
        <w:rPr>
          <w:rFonts w:ascii="TH Niramit AS" w:hAnsi="TH Niramit AS" w:cs="TH Niramit AS"/>
          <w:sz w:val="32"/>
          <w:szCs w:val="32"/>
          <w:cs/>
        </w:rPr>
        <w:t>มหาวิทยาลัยได้มีการกำหนดสมรรถนะสำหรับบุคลากรทุกตำแหน่งในมหาวิทยาลัย</w:t>
      </w:r>
      <w:r>
        <w:rPr>
          <w:rFonts w:ascii="TH Niramit AS" w:hAnsi="TH Niramit AS" w:cs="TH Niramit AS"/>
          <w:sz w:val="32"/>
          <w:szCs w:val="32"/>
          <w:cs/>
        </w:rPr>
        <w:br/>
      </w:r>
      <w:r w:rsidRPr="00600541">
        <w:rPr>
          <w:rFonts w:ascii="TH Niramit AS" w:hAnsi="TH Niramit AS" w:cs="TH Niramit AS"/>
          <w:sz w:val="32"/>
          <w:szCs w:val="32"/>
          <w:cs/>
        </w:rPr>
        <w:t xml:space="preserve"> โดยผ่านความเห็นชอบจากสภามหาวิทยาลัย ในการประชุมครั้งที่ 7/2552 เมื่อวันที่ 20 กันยายน 2552 ซึ่งมหาวิทยาลัยได้กำหนดให้บุคลากรทุกตำแหน่งต้องมีสมรรถนะ ประกอบด้วย สมรรถนะหลัก (</w:t>
      </w:r>
      <w:r w:rsidRPr="00600541">
        <w:rPr>
          <w:rFonts w:ascii="TH Niramit AS" w:hAnsi="TH Niramit AS" w:cs="TH Niramit AS"/>
          <w:sz w:val="32"/>
          <w:szCs w:val="32"/>
        </w:rPr>
        <w:t>Core Competency)</w:t>
      </w:r>
      <w:r w:rsidRPr="00600541">
        <w:rPr>
          <w:rFonts w:ascii="TH Niramit AS" w:hAnsi="TH Niramit AS" w:cs="TH Niramit AS"/>
          <w:sz w:val="32"/>
          <w:szCs w:val="32"/>
          <w:cs/>
        </w:rPr>
        <w:t xml:space="preserve"> สมรรถนะของผู้บริหาร (</w:t>
      </w:r>
      <w:r w:rsidRPr="00600541">
        <w:rPr>
          <w:rFonts w:ascii="TH Niramit AS" w:hAnsi="TH Niramit AS" w:cs="TH Niramit AS"/>
          <w:sz w:val="32"/>
          <w:szCs w:val="32"/>
        </w:rPr>
        <w:t>Managerial Competency)</w:t>
      </w:r>
      <w:r w:rsidRPr="00600541">
        <w:rPr>
          <w:rFonts w:ascii="TH Niramit AS" w:hAnsi="TH Niramit AS" w:cs="TH Niramit AS"/>
          <w:sz w:val="32"/>
          <w:szCs w:val="32"/>
          <w:cs/>
        </w:rPr>
        <w:t xml:space="preserve"> และสมรรถนะประจำกลุ่มงาน </w:t>
      </w:r>
      <w:r w:rsidRPr="00600541">
        <w:rPr>
          <w:rFonts w:ascii="TH Niramit AS" w:hAnsi="TH Niramit AS" w:cs="TH Niramit AS"/>
          <w:sz w:val="32"/>
          <w:szCs w:val="32"/>
        </w:rPr>
        <w:t>(Functional Competency)</w:t>
      </w:r>
      <w:r w:rsidRPr="00600541">
        <w:rPr>
          <w:rFonts w:ascii="TH Niramit AS" w:hAnsi="TH Niramit AS" w:cs="TH Niramit AS"/>
          <w:sz w:val="32"/>
          <w:szCs w:val="32"/>
          <w:cs/>
        </w:rPr>
        <w:t xml:space="preserve"> จำนวน 11 กลุ่มงาน (รวมถึงสมรรถนะของบุคลากรประเภทวิชาการ) ต่อมามหาวิทยาลัยได้เสนอต่อสภามหาวิทยาลัย ให้มีการกำหนดสมรรถนะประจำกลุ่มงานลูกจ้างประจำขึ้นมา เป็นกลุ่มงานที่ 12 กลุ่มงานลูกจ้างประจำ</w:t>
      </w:r>
      <w:r w:rsidRPr="00600541">
        <w:rPr>
          <w:rFonts w:ascii="TH Niramit AS" w:hAnsi="TH Niramit AS" w:cs="TH Niramit AS"/>
          <w:sz w:val="32"/>
          <w:szCs w:val="32"/>
        </w:rPr>
        <w:t xml:space="preserve"> </w:t>
      </w:r>
      <w:r w:rsidRPr="00600541">
        <w:rPr>
          <w:rFonts w:ascii="TH Niramit AS" w:hAnsi="TH Niramit AS" w:cs="TH Niramit AS"/>
          <w:sz w:val="32"/>
          <w:szCs w:val="32"/>
          <w:cs/>
        </w:rPr>
        <w:t>และผ่านความเห็นชอบจากสภามหาวิทยาลัย ในการประชุมครั้งที่ 4/2554 เมื่อวันที่ 12 มิถุนายน 2554 มหาวิทยาลัยจึงดำเนินจัดทำรายละเอียดสมรรถนะ เป็น</w:t>
      </w:r>
      <w:hyperlink r:id="rId5" w:history="1">
        <w:r w:rsidRPr="00600541">
          <w:rPr>
            <w:rStyle w:val="Hyperlink"/>
            <w:rFonts w:ascii="TH Niramit AS" w:hAnsi="TH Niramit AS" w:cs="TH Niramit AS"/>
            <w:sz w:val="32"/>
            <w:szCs w:val="32"/>
            <w:cs/>
          </w:rPr>
          <w:t>คู่มือสมรรถนะมหาวิทยาลัยแม่โจ้ ฉบับปรับปรุง มิถุนายน 2554</w:t>
        </w:r>
      </w:hyperlink>
      <w:r w:rsidRPr="00600541">
        <w:rPr>
          <w:rFonts w:ascii="TH Niramit AS" w:hAnsi="TH Niramit AS" w:cs="TH Niramit AS"/>
          <w:sz w:val="32"/>
          <w:szCs w:val="32"/>
          <w:cs/>
        </w:rPr>
        <w:t xml:space="preserve"> และได้กำหนดให้มีการประเมินสมรรถนะ เพื่อใช้เป็นส่วนหนึ่งในการสรรหา การคัดเลือกบุคลากร และการกำหนดตำแหน่งที่สูงขึ้น รวมทั้งการประเมินผลการปฏิบัติงาน</w:t>
      </w:r>
      <w:r w:rsidRPr="00600541">
        <w:rPr>
          <w:rFonts w:ascii="TH Niramit AS" w:hAnsi="TH Niramit AS" w:cs="TH Niramit AS"/>
          <w:sz w:val="32"/>
          <w:szCs w:val="32"/>
        </w:rPr>
        <w:t xml:space="preserve"> </w:t>
      </w:r>
      <w:r w:rsidRPr="00600541">
        <w:rPr>
          <w:rFonts w:ascii="TH Niramit AS" w:hAnsi="TH Niramit AS" w:cs="TH Niramit AS"/>
          <w:sz w:val="32"/>
          <w:szCs w:val="32"/>
          <w:cs/>
        </w:rPr>
        <w:t>ตั้งแต่ปีงบประมาณ พ.ศ. 2554 เป็นต้นมา</w:t>
      </w:r>
    </w:p>
    <w:p w14:paraId="3017A47F" w14:textId="361CD642" w:rsidR="00600541" w:rsidRPr="00600541" w:rsidRDefault="00600541" w:rsidP="0060054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600541">
        <w:rPr>
          <w:rFonts w:ascii="TH Niramit AS" w:hAnsi="TH Niramit AS" w:cs="TH Niramit AS"/>
          <w:sz w:val="32"/>
          <w:szCs w:val="32"/>
          <w:cs/>
        </w:rPr>
        <w:t>มหาวิทยาลัย ได้กำหนดสมรรถนะสำหรับบุคลากรประเภทวิชาการ ประกอบด้วย สมรรถนะหลัก จำนวน 5 หัวข้อ ได้แก่ 1) ความใฝ่รู้ 2) การทำงานเป็นทีมและการสร้างเครือข่าย 3) การคิดริเริ่มสร้างสรรค์ 4) ความสามารถในการใช้ภาษาต่างประเทศ และ 5) ทักษะด้านเทคโนโลยีสารสนเทศ</w:t>
      </w:r>
    </w:p>
    <w:p w14:paraId="160E669E" w14:textId="0B5464D1" w:rsidR="00600541" w:rsidRPr="00600541" w:rsidRDefault="00600541" w:rsidP="0060054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600541">
        <w:rPr>
          <w:rFonts w:ascii="TH Niramit AS" w:hAnsi="TH Niramit AS" w:cs="TH Niramit AS"/>
          <w:sz w:val="32"/>
          <w:szCs w:val="32"/>
          <w:cs/>
        </w:rPr>
        <w:t>สมรรถนะประจำกลุ่มงาน จำนวน 5 หัวข้อ ได้แก่ 1) ทักษะการให้คำปรึกษา 2) ทักษะการสอน 3) ทักษะด้านการวิจัยและนวัตกรรม 4) ความรู้ความเชี่ยวชาญด้านวิชาการ และ 5) ความกระตือรือร้นและการเป็นแบบอย่างที่ดี</w:t>
      </w:r>
    </w:p>
    <w:p w14:paraId="41838401" w14:textId="3FAC5A4D" w:rsidR="00600541" w:rsidRPr="00600541" w:rsidRDefault="00600541" w:rsidP="0060054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600541">
        <w:rPr>
          <w:rFonts w:ascii="TH Niramit AS" w:hAnsi="TH Niramit AS" w:cs="TH Niramit AS"/>
          <w:sz w:val="32"/>
          <w:szCs w:val="32"/>
          <w:cs/>
        </w:rPr>
        <w:t>สำหรับบุคลากรประเภทวิชาการ ที่ดำรงตำแหน่งบริหาร จะมีกำหนดให้มีสมรรถนะของผู้บริหาร จำนวน 4 หัวข้อ ได้แก่ 1) การบริหารจัดการ 2) การวางแผน 3) การมีวิสัยทัศน์ และ 4) การแก้ไขปัญหา</w:t>
      </w:r>
    </w:p>
    <w:p w14:paraId="6D6BF493" w14:textId="77777777" w:rsidR="00600541" w:rsidRPr="00600541" w:rsidRDefault="00600541" w:rsidP="0060054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600541">
        <w:rPr>
          <w:rFonts w:ascii="TH Niramit AS" w:hAnsi="TH Niramit AS" w:cs="TH Niramit AS"/>
          <w:sz w:val="32"/>
          <w:szCs w:val="32"/>
          <w:cs/>
        </w:rPr>
        <w:t>ในปีงบประมาณ พ.ศ. 2566 มหาวิทยาลัย กำหนดให้บุคลากรทุกตำแหน่ง จัดทำข้อตกลงภาระงาน และได้กำหนดให้มีการประเมินสมรรถนะเป็นองค์ประกอบของการประเมินผลการปฏิบัติงาน ตามประกาศคณะกรรมการบริหารงานบุคคลมหาวิทยาลัยแม่โจ้ เรื่อง หลักเกณฑ์การประเมินผลการปฏิบัติงานของผู้บริหารและผู้ปฏิบัติงานในมหาวิทยาลัย พ.ศ. 2562 และประกาศคณะกรรมการ</w:t>
      </w:r>
      <w:r w:rsidRPr="00600541">
        <w:rPr>
          <w:rFonts w:ascii="TH Niramit AS" w:hAnsi="TH Niramit AS" w:cs="TH Niramit AS"/>
          <w:sz w:val="32"/>
          <w:szCs w:val="32"/>
          <w:cs/>
        </w:rPr>
        <w:lastRenderedPageBreak/>
        <w:t xml:space="preserve">บริหารงานบุคคลมหาวิทยาลัยแม่โจ้ เรื่อง หลักเกณฑ์การประเมินผลการปฏิบัติงานของผู้บริหารและผู้ปฏิบัติงานในมหาวิทยาลัย (ฉบับที่ 2) ซึ่งมีการประเมินสมรรถนะหลัก </w:t>
      </w:r>
      <w:r w:rsidRPr="00600541">
        <w:rPr>
          <w:rFonts w:ascii="TH Niramit AS" w:hAnsi="TH Niramit AS" w:cs="TH Niramit AS"/>
          <w:sz w:val="32"/>
          <w:szCs w:val="32"/>
        </w:rPr>
        <w:t xml:space="preserve">(Core Competency) </w:t>
      </w:r>
      <w:r w:rsidRPr="00600541">
        <w:rPr>
          <w:rFonts w:ascii="TH Niramit AS" w:hAnsi="TH Niramit AS" w:cs="TH Niramit AS"/>
          <w:sz w:val="32"/>
          <w:szCs w:val="32"/>
          <w:cs/>
        </w:rPr>
        <w:t xml:space="preserve">สมรรถนะประจำกลุ่มงาน </w:t>
      </w:r>
      <w:r w:rsidRPr="00600541">
        <w:rPr>
          <w:rFonts w:ascii="TH Niramit AS" w:hAnsi="TH Niramit AS" w:cs="TH Niramit AS"/>
          <w:sz w:val="32"/>
          <w:szCs w:val="32"/>
        </w:rPr>
        <w:t xml:space="preserve">(Functional Competency) </w:t>
      </w:r>
      <w:r w:rsidRPr="00600541">
        <w:rPr>
          <w:rFonts w:ascii="TH Niramit AS" w:hAnsi="TH Niramit AS" w:cs="TH Niramit AS"/>
          <w:sz w:val="32"/>
          <w:szCs w:val="32"/>
          <w:cs/>
        </w:rPr>
        <w:t xml:space="preserve">และสมรรถนะของผู้บริหาร </w:t>
      </w:r>
      <w:r w:rsidRPr="00600541">
        <w:rPr>
          <w:rFonts w:ascii="TH Niramit AS" w:hAnsi="TH Niramit AS" w:cs="TH Niramit AS"/>
          <w:sz w:val="32"/>
          <w:szCs w:val="32"/>
        </w:rPr>
        <w:t xml:space="preserve">(Managerial Competency) </w:t>
      </w:r>
      <w:r w:rsidRPr="00600541">
        <w:rPr>
          <w:rFonts w:ascii="TH Niramit AS" w:hAnsi="TH Niramit AS" w:cs="TH Niramit AS"/>
          <w:sz w:val="32"/>
          <w:szCs w:val="32"/>
          <w:cs/>
        </w:rPr>
        <w:t>โดยรายละเอียดของการประเมินสมรรถนะ ได้มีการประกาศใช้และมีการสื่อสารให้บุคลากรประเภทวิชาการได้รับทราบและเข้าใจตรงกันอย่างทั่วถึง โดยบุคลากรประเภทวิชาการที่เป็นข้าราชการพลเรือนในสถาบันอุดมศึกษา จะมีการประเมินปีละ 2 ครั้ง (ทุก 6 เดือน) ในส่วนของบุคลากรประเภทวิชาการที่เป็นพนักงานมหาวิทยาลัยและพนักงานส่วนงาน จะมีการประเมินปีละ 1 ครั้ง เพื่อใช้ประกอบการพิจารณาการเลื่อนเงินเดือน/ค่าจ้าง และจากผลการประเมินสมรรถนะ มหาวิทยาลัยจะนำผลดังกล่าวใช้เป็นข้อมูลประกอบการจัดทำแผนบริหารทรัพยากรมนุษย์ของมหาวิทยาลัย และในส่วนของคณะต่าง ๆ ก็ได้มีการนำผลการประเมินสมรรถนะไปใช้ประกอบการจัดทำแผนพัฒนาบุคลากรของคณะ ตามลำดับ</w:t>
      </w:r>
    </w:p>
    <w:p w14:paraId="61929FEA" w14:textId="5211148A" w:rsidR="00600541" w:rsidRPr="00600541" w:rsidRDefault="00600541" w:rsidP="00600541">
      <w:pPr>
        <w:tabs>
          <w:tab w:val="left" w:pos="709"/>
        </w:tabs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600541">
        <w:rPr>
          <w:rFonts w:ascii="TH Niramit AS" w:hAnsi="TH Niramit AS" w:cs="TH Niramit AS"/>
          <w:sz w:val="32"/>
          <w:szCs w:val="32"/>
          <w:cs/>
        </w:rPr>
        <w:t>สำหรับการประเมินสมรรถนะ มีขั้นตอนดังนี้</w:t>
      </w:r>
    </w:p>
    <w:p w14:paraId="510DBF3B" w14:textId="77777777" w:rsidR="00600541" w:rsidRPr="00600541" w:rsidRDefault="00600541" w:rsidP="00600541">
      <w:pPr>
        <w:pStyle w:val="ListParagraph"/>
        <w:numPr>
          <w:ilvl w:val="0"/>
          <w:numId w:val="6"/>
        </w:numPr>
        <w:tabs>
          <w:tab w:val="left" w:pos="993"/>
        </w:tabs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600541">
        <w:rPr>
          <w:rFonts w:ascii="TH Niramit AS" w:hAnsi="TH Niramit AS" w:cs="TH Niramit AS"/>
          <w:sz w:val="32"/>
          <w:szCs w:val="32"/>
          <w:cs/>
        </w:rPr>
        <w:t>มหาวิทยาลัยกำหนดค่ามาตรฐานของสมรรถนะ ตามตำแหน่งและระดับ ของบุคลากรแต่ละราย</w:t>
      </w:r>
    </w:p>
    <w:p w14:paraId="176E1181" w14:textId="77777777" w:rsidR="00600541" w:rsidRPr="00600541" w:rsidRDefault="00600541" w:rsidP="00600541">
      <w:pPr>
        <w:pStyle w:val="ListParagraph"/>
        <w:numPr>
          <w:ilvl w:val="0"/>
          <w:numId w:val="6"/>
        </w:numPr>
        <w:tabs>
          <w:tab w:val="left" w:pos="993"/>
        </w:tabs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600541">
        <w:rPr>
          <w:rFonts w:ascii="TH Niramit AS" w:hAnsi="TH Niramit AS" w:cs="TH Niramit AS"/>
          <w:sz w:val="32"/>
          <w:szCs w:val="32"/>
          <w:cs/>
        </w:rPr>
        <w:t>บุคลากรประเมินสมรรถนะตนเอง</w:t>
      </w:r>
    </w:p>
    <w:p w14:paraId="74A237E2" w14:textId="77777777" w:rsidR="00600541" w:rsidRPr="00600541" w:rsidRDefault="00600541" w:rsidP="00600541">
      <w:pPr>
        <w:pStyle w:val="ListParagraph"/>
        <w:numPr>
          <w:ilvl w:val="0"/>
          <w:numId w:val="6"/>
        </w:numPr>
        <w:tabs>
          <w:tab w:val="left" w:pos="993"/>
        </w:tabs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600541">
        <w:rPr>
          <w:rFonts w:ascii="TH Niramit AS" w:hAnsi="TH Niramit AS" w:cs="TH Niramit AS"/>
          <w:sz w:val="32"/>
          <w:szCs w:val="32"/>
          <w:cs/>
        </w:rPr>
        <w:t>ผู้บริหารประเมินสมรรถนะ</w:t>
      </w:r>
    </w:p>
    <w:p w14:paraId="0E46D7E2" w14:textId="77777777" w:rsidR="00600541" w:rsidRPr="00600541" w:rsidRDefault="00600541" w:rsidP="00600541">
      <w:pPr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6504D154" w14:textId="4F015AD3" w:rsidR="006948E7" w:rsidRPr="00301607" w:rsidRDefault="006948E7" w:rsidP="006948E7">
      <w:pPr>
        <w:ind w:firstLine="1134"/>
        <w:jc w:val="thaiDistribute"/>
        <w:rPr>
          <w:rFonts w:ascii="TH Niramit AS" w:hAnsi="TH Niramit AS" w:cs="TH Niramit AS" w:hint="cs"/>
          <w:sz w:val="32"/>
          <w:szCs w:val="32"/>
          <w:cs/>
        </w:rPr>
      </w:pPr>
      <w:r w:rsidRPr="00301607">
        <w:rPr>
          <w:rFonts w:ascii="TH Niramit AS" w:hAnsi="TH Niramit AS" w:cs="TH Niramit AS"/>
          <w:sz w:val="32"/>
          <w:szCs w:val="32"/>
          <w:cs/>
        </w:rPr>
        <w:t>ปัจจุบัน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Pr="00301607">
        <w:rPr>
          <w:rFonts w:ascii="TH Niramit AS" w:hAnsi="TH Niramit AS" w:cs="TH Niramit AS"/>
          <w:sz w:val="32"/>
          <w:szCs w:val="32"/>
          <w:cs/>
        </w:rPr>
        <w:t>มหาวิทยาลัย</w:t>
      </w:r>
      <w:r>
        <w:rPr>
          <w:rFonts w:ascii="TH Niramit AS" w:hAnsi="TH Niramit AS" w:cs="TH Niramit AS" w:hint="cs"/>
          <w:sz w:val="32"/>
          <w:szCs w:val="32"/>
          <w:cs/>
        </w:rPr>
        <w:t>ได้กำหนด</w:t>
      </w:r>
      <w:hyperlink r:id="rId6" w:history="1">
        <w:r w:rsidRPr="00F940B1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สมรรถนะและระดับความคาดหวังของสมรรถนะของผู้บริหารและผู้ปฏิบัติงานในมหาวิทยาลัย</w:t>
        </w:r>
      </w:hyperlink>
      <w:r>
        <w:rPr>
          <w:rFonts w:ascii="TH Niramit AS" w:hAnsi="TH Niramit AS" w:cs="TH Niramit AS" w:hint="cs"/>
          <w:sz w:val="32"/>
          <w:szCs w:val="32"/>
          <w:cs/>
        </w:rPr>
        <w:t xml:space="preserve"> ฉบับใหม่ ทดแทน </w:t>
      </w:r>
      <w:hyperlink r:id="rId7" w:history="1">
        <w:r w:rsidRPr="00F940B1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คู่มือสมรรถนะมหาวิทยาลัยแม่โจ้ ฉบับปรับปรุง มิถุนายน 2554</w:t>
        </w:r>
      </w:hyperlink>
      <w:r>
        <w:rPr>
          <w:rFonts w:ascii="TH Niramit AS" w:hAnsi="TH Niramit AS" w:cs="TH Niramit AS" w:hint="cs"/>
          <w:sz w:val="32"/>
          <w:szCs w:val="32"/>
          <w:cs/>
        </w:rPr>
        <w:t xml:space="preserve"> โดยมีผลบังคับใช้ตั้งแต่ วันที่ 1 ตุลาคม 2567 เป็นต้นไป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โดยมีการปรับ</w:t>
      </w:r>
      <w:r w:rsidRPr="00600541">
        <w:rPr>
          <w:rFonts w:ascii="TH Niramit AS" w:hAnsi="TH Niramit AS" w:cs="TH Niramit AS"/>
          <w:sz w:val="32"/>
          <w:szCs w:val="32"/>
          <w:cs/>
        </w:rPr>
        <w:t xml:space="preserve">สมรรถนะสำหรับบุคลากรประเภทวิชาการ </w:t>
      </w:r>
      <w:r>
        <w:rPr>
          <w:rFonts w:ascii="TH Niramit AS" w:hAnsi="TH Niramit AS" w:cs="TH Niramit AS" w:hint="cs"/>
          <w:sz w:val="32"/>
          <w:szCs w:val="32"/>
          <w:cs/>
        </w:rPr>
        <w:t>จากเดิม</w:t>
      </w:r>
      <w:r w:rsidRPr="00600541">
        <w:rPr>
          <w:rFonts w:ascii="TH Niramit AS" w:hAnsi="TH Niramit AS" w:cs="TH Niramit AS"/>
          <w:sz w:val="32"/>
          <w:szCs w:val="32"/>
          <w:cs/>
        </w:rPr>
        <w:t xml:space="preserve"> สมรรถนะหลัก จำนวน 5 หัวข้อ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  <w:r w:rsidRPr="00600541">
        <w:rPr>
          <w:rFonts w:ascii="TH Niramit AS" w:hAnsi="TH Niramit AS" w:cs="TH Niramit AS"/>
          <w:sz w:val="32"/>
          <w:szCs w:val="32"/>
          <w:cs/>
        </w:rPr>
        <w:t>สมรรถนะประจำกลุ่มงาน จำนวน 5 หัวข้อ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ข้างต้น เป็น </w:t>
      </w:r>
      <w:r w:rsidR="001E003C">
        <w:rPr>
          <w:rFonts w:ascii="TH Niramit AS" w:hAnsi="TH Niramit AS" w:cs="TH Niramit AS" w:hint="cs"/>
          <w:sz w:val="32"/>
          <w:szCs w:val="32"/>
          <w:cs/>
        </w:rPr>
        <w:t>เฉพาะ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สมรรถนะหลัก จำนวน 5 หัวข้อ </w:t>
      </w:r>
      <w:r w:rsidR="001E003C">
        <w:rPr>
          <w:rFonts w:ascii="TH Niramit AS" w:hAnsi="TH Niramit AS" w:cs="TH Niramit AS" w:hint="cs"/>
          <w:sz w:val="32"/>
          <w:szCs w:val="32"/>
          <w:cs/>
        </w:rPr>
        <w:t xml:space="preserve">เท่านั้น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ได้แก่ </w:t>
      </w:r>
      <w:r w:rsidR="001E003C"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 xml:space="preserve">1) </w:t>
      </w:r>
      <w:r w:rsidRPr="006948E7">
        <w:rPr>
          <w:rFonts w:ascii="TH Niramit AS" w:hAnsi="TH Niramit AS" w:cs="TH Niramit AS"/>
          <w:sz w:val="32"/>
          <w:szCs w:val="32"/>
          <w:cs/>
        </w:rPr>
        <w:t>การมุ่งผลสัมฤทธิ์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2) </w:t>
      </w:r>
      <w:r w:rsidRPr="006948E7">
        <w:rPr>
          <w:rFonts w:ascii="TH Niramit AS" w:hAnsi="TH Niramit AS" w:cs="TH Niramit AS"/>
          <w:sz w:val="32"/>
          <w:szCs w:val="32"/>
          <w:cs/>
        </w:rPr>
        <w:t>บริการที่ดี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3) </w:t>
      </w:r>
      <w:r w:rsidRPr="006948E7">
        <w:rPr>
          <w:rFonts w:ascii="TH Niramit AS" w:hAnsi="TH Niramit AS" w:cs="TH Niramit AS"/>
          <w:sz w:val="32"/>
          <w:szCs w:val="32"/>
          <w:cs/>
        </w:rPr>
        <w:t>การสั่งสมความเชี่ยวชาญในงานอาชีพ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4) </w:t>
      </w:r>
      <w:r w:rsidRPr="006948E7">
        <w:rPr>
          <w:rFonts w:ascii="TH Niramit AS" w:hAnsi="TH Niramit AS" w:cs="TH Niramit AS"/>
          <w:sz w:val="32"/>
          <w:szCs w:val="32"/>
          <w:cs/>
        </w:rPr>
        <w:t>การยึดมั่นในความถูกต้องชอบธรรม และจริยธรรม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 5) </w:t>
      </w:r>
      <w:r w:rsidRPr="006948E7">
        <w:rPr>
          <w:rFonts w:ascii="TH Niramit AS" w:hAnsi="TH Niramit AS" w:cs="TH Niramit AS"/>
          <w:sz w:val="32"/>
          <w:szCs w:val="32"/>
          <w:cs/>
        </w:rPr>
        <w:t>การทำงานเป็นทีม</w:t>
      </w:r>
    </w:p>
    <w:p w14:paraId="78DD3B30" w14:textId="77777777" w:rsidR="00600541" w:rsidRPr="00600541" w:rsidRDefault="00600541" w:rsidP="00600541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sectPr w:rsidR="00600541" w:rsidRPr="00600541" w:rsidSect="00395E2D">
      <w:pgSz w:w="11906" w:h="16838" w:code="9"/>
      <w:pgMar w:top="1702" w:right="1133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  <w:embedRegular r:id="rId1" w:fontKey="{EAAEE536-7ED8-40F6-9755-08F3B47AC5E0}"/>
    <w:embedBold r:id="rId2" w:fontKey="{FA113C69-7A17-4B70-8240-D9EDC09EDC8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4DE"/>
    <w:multiLevelType w:val="hybridMultilevel"/>
    <w:tmpl w:val="D40A4392"/>
    <w:lvl w:ilvl="0" w:tplc="DC30B4CE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4A46762"/>
    <w:multiLevelType w:val="hybridMultilevel"/>
    <w:tmpl w:val="B63CAB10"/>
    <w:lvl w:ilvl="0" w:tplc="DC30B4CE">
      <w:start w:val="1"/>
      <w:numFmt w:val="decimal"/>
      <w:lvlText w:val="%1."/>
      <w:lvlJc w:val="left"/>
      <w:pPr>
        <w:ind w:left="297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12AAA"/>
    <w:multiLevelType w:val="hybridMultilevel"/>
    <w:tmpl w:val="D8B2C2F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7471757B"/>
    <w:multiLevelType w:val="hybridMultilevel"/>
    <w:tmpl w:val="AAC03AA6"/>
    <w:lvl w:ilvl="0" w:tplc="E98C3D6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TrueTypeFonts/>
  <w:saveSubsetFonts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05B8F"/>
    <w:rsid w:val="000F1BF5"/>
    <w:rsid w:val="001E003C"/>
    <w:rsid w:val="002420A4"/>
    <w:rsid w:val="002B6211"/>
    <w:rsid w:val="00395E2D"/>
    <w:rsid w:val="003C469B"/>
    <w:rsid w:val="00600541"/>
    <w:rsid w:val="006948E7"/>
    <w:rsid w:val="006A496F"/>
    <w:rsid w:val="006B73B9"/>
    <w:rsid w:val="00714ABB"/>
    <w:rsid w:val="00741F10"/>
    <w:rsid w:val="00A1406B"/>
    <w:rsid w:val="00A2382E"/>
    <w:rsid w:val="00A4343E"/>
    <w:rsid w:val="00B708C7"/>
    <w:rsid w:val="00C4301E"/>
    <w:rsid w:val="00EA7451"/>
    <w:rsid w:val="00EB47B3"/>
    <w:rsid w:val="00EB749A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E"/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4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DefaultParagraphFont"/>
    <w:rsid w:val="00A4343E"/>
  </w:style>
  <w:style w:type="character" w:customStyle="1" w:styleId="Heading1Char">
    <w:name w:val="Heading 1 Char"/>
    <w:basedOn w:val="DefaultParagraphFont"/>
    <w:link w:val="Heading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TableNormal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5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rd.mju.ac.th/goverment/25630206142303_hrd/Doc_25660608174350_46223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d.mju.ac.th/goverment/25630206142303_hrd/Doc_25671031120556_137755.pdf" TargetMode="External"/><Relationship Id="rId5" Type="http://schemas.openxmlformats.org/officeDocument/2006/relationships/hyperlink" Target="https://hrd.mju.ac.th/goverment/25630206142303_hrd/Doc_25660608174350_46223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Rattikarn Nawichai</cp:lastModifiedBy>
  <cp:revision>3</cp:revision>
  <dcterms:created xsi:type="dcterms:W3CDTF">2025-04-22T04:25:00Z</dcterms:created>
  <dcterms:modified xsi:type="dcterms:W3CDTF">2025-04-22T06:31:00Z</dcterms:modified>
</cp:coreProperties>
</file>