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2"/>
        <w:tblW w:w="91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283"/>
        <w:gridCol w:w="876"/>
        <w:gridCol w:w="284"/>
        <w:gridCol w:w="6636"/>
      </w:tblGrid>
      <w:tr w:rsidR="00741F10" w:rsidRPr="00133D5A" w14:paraId="5FC24781" w14:textId="77777777" w:rsidTr="002420A4">
        <w:tc>
          <w:tcPr>
            <w:tcW w:w="9180" w:type="dxa"/>
            <w:gridSpan w:val="5"/>
            <w:shd w:val="clear" w:color="auto" w:fill="92D050"/>
          </w:tcPr>
          <w:p w14:paraId="0E75FEF2" w14:textId="2A6C6E40" w:rsidR="00741F10" w:rsidRPr="00133D5A" w:rsidRDefault="00741F10">
            <w:pPr>
              <w:rPr>
                <w:rFonts w:ascii="TH Niramit AS" w:hAnsi="TH Niramit AS" w:cs="TH Niramit AS"/>
                <w:b/>
                <w:bCs/>
                <w:sz w:val="32"/>
                <w:szCs w:val="32"/>
                <w:cs/>
              </w:rPr>
            </w:pPr>
            <w:bookmarkStart w:id="0" w:name="_Hlk73959342"/>
            <w:r w:rsidRPr="00133D5A">
              <w:rPr>
                <w:rFonts w:ascii="TH Niramit AS" w:hAnsi="TH Niramit AS" w:cs="TH Niramit AS"/>
                <w:b/>
                <w:bCs/>
                <w:sz w:val="32"/>
                <w:szCs w:val="32"/>
              </w:rPr>
              <w:t xml:space="preserve">Criteria 5 : </w:t>
            </w:r>
            <w:bookmarkEnd w:id="0"/>
            <w:r w:rsidRPr="00133D5A">
              <w:rPr>
                <w:rFonts w:ascii="TH Niramit AS" w:hAnsi="TH Niramit AS" w:cs="TH Niramit AS"/>
                <w:b/>
                <w:bCs/>
                <w:sz w:val="32"/>
                <w:szCs w:val="32"/>
              </w:rPr>
              <w:t>Academic Staff</w:t>
            </w:r>
          </w:p>
        </w:tc>
      </w:tr>
      <w:tr w:rsidR="00F969BD" w:rsidRPr="00133D5A" w14:paraId="5A93C091" w14:textId="77777777" w:rsidTr="002420A4">
        <w:tc>
          <w:tcPr>
            <w:tcW w:w="1101" w:type="dxa"/>
            <w:hideMark/>
          </w:tcPr>
          <w:p w14:paraId="5E42D4F6" w14:textId="6C7CE349" w:rsidR="00F969BD" w:rsidRPr="00133D5A" w:rsidRDefault="00F969BD">
            <w:pPr>
              <w:rPr>
                <w:rFonts w:ascii="TH Niramit AS" w:hAnsi="TH Niramit AS" w:cs="TH Niramit AS"/>
                <w:b/>
                <w:bCs/>
                <w:sz w:val="32"/>
                <w:szCs w:val="32"/>
              </w:rPr>
            </w:pPr>
            <w:r w:rsidRPr="00133D5A">
              <w:rPr>
                <w:rFonts w:ascii="TH Niramit AS" w:hAnsi="TH Niramit AS" w:cs="TH Niramit AS"/>
                <w:b/>
                <w:bCs/>
                <w:sz w:val="32"/>
                <w:szCs w:val="32"/>
              </w:rPr>
              <w:t>Re</w:t>
            </w:r>
            <w:r w:rsidR="00741F10" w:rsidRPr="00133D5A">
              <w:rPr>
                <w:rFonts w:ascii="TH Niramit AS" w:hAnsi="TH Niramit AS" w:cs="TH Niramit AS"/>
                <w:b/>
                <w:bCs/>
                <w:sz w:val="32"/>
                <w:szCs w:val="32"/>
              </w:rPr>
              <w:t>q-5.</w:t>
            </w:r>
            <w:r w:rsidR="0040355B" w:rsidRPr="00133D5A">
              <w:rPr>
                <w:rFonts w:ascii="TH Niramit AS" w:hAnsi="TH Niramit AS" w:cs="TH Niramit AS"/>
                <w:b/>
                <w:bCs/>
                <w:sz w:val="32"/>
                <w:szCs w:val="32"/>
                <w:cs/>
              </w:rPr>
              <w:t>6</w:t>
            </w:r>
          </w:p>
        </w:tc>
        <w:tc>
          <w:tcPr>
            <w:tcW w:w="283" w:type="dxa"/>
            <w:hideMark/>
          </w:tcPr>
          <w:p w14:paraId="44F0C360" w14:textId="77777777" w:rsidR="00F969BD" w:rsidRPr="00133D5A" w:rsidRDefault="00F969BD">
            <w:pPr>
              <w:rPr>
                <w:rFonts w:ascii="TH Niramit AS" w:hAnsi="TH Niramit AS" w:cs="TH Niramit AS"/>
                <w:b/>
                <w:bCs/>
                <w:sz w:val="32"/>
                <w:szCs w:val="32"/>
              </w:rPr>
            </w:pPr>
            <w:r w:rsidRPr="00133D5A">
              <w:rPr>
                <w:rFonts w:ascii="TH Niramit AS" w:hAnsi="TH Niramit AS" w:cs="TH Niramit AS"/>
                <w:b/>
                <w:bCs/>
                <w:sz w:val="32"/>
                <w:szCs w:val="32"/>
                <w:cs/>
              </w:rPr>
              <w:t>:</w:t>
            </w:r>
          </w:p>
        </w:tc>
        <w:tc>
          <w:tcPr>
            <w:tcW w:w="7796" w:type="dxa"/>
            <w:gridSpan w:val="3"/>
          </w:tcPr>
          <w:p w14:paraId="638403D4" w14:textId="0D286486" w:rsidR="00F969BD" w:rsidRPr="00133D5A" w:rsidRDefault="0040355B">
            <w:pPr>
              <w:rPr>
                <w:rFonts w:ascii="TH Niramit AS" w:hAnsi="TH Niramit AS" w:cs="TH Niramit AS"/>
                <w:b/>
                <w:bCs/>
                <w:sz w:val="32"/>
                <w:szCs w:val="32"/>
              </w:rPr>
            </w:pPr>
            <w:r w:rsidRPr="00133D5A">
              <w:rPr>
                <w:rFonts w:ascii="TH Niramit AS" w:hAnsi="TH Niramit AS" w:cs="TH Niramit AS"/>
                <w:sz w:val="32"/>
                <w:szCs w:val="32"/>
              </w:rPr>
              <w:t>The programme to show that the rights and privileges, benefits, roles and relationships, and accountability of the academic staff, taking into account professional ethics and their academic freedom, are well defined and understood.</w:t>
            </w:r>
          </w:p>
        </w:tc>
      </w:tr>
      <w:tr w:rsidR="00F969BD" w:rsidRPr="00133D5A" w14:paraId="14E48787" w14:textId="77777777" w:rsidTr="002420A4">
        <w:tc>
          <w:tcPr>
            <w:tcW w:w="2260" w:type="dxa"/>
            <w:gridSpan w:val="3"/>
            <w:hideMark/>
          </w:tcPr>
          <w:p w14:paraId="58A1845F" w14:textId="77777777" w:rsidR="00F969BD" w:rsidRPr="00133D5A" w:rsidRDefault="00F969BD">
            <w:pPr>
              <w:rPr>
                <w:rFonts w:ascii="TH Niramit AS" w:hAnsi="TH Niramit AS" w:cs="TH Niramit AS"/>
                <w:b/>
                <w:bCs/>
                <w:sz w:val="32"/>
                <w:szCs w:val="32"/>
                <w:cs/>
              </w:rPr>
            </w:pPr>
            <w:r w:rsidRPr="00133D5A">
              <w:rPr>
                <w:rFonts w:ascii="TH Niramit AS" w:hAnsi="TH Niramit AS" w:cs="TH Niramit AS"/>
                <w:b/>
                <w:bCs/>
                <w:sz w:val="32"/>
                <w:szCs w:val="32"/>
                <w:cs/>
              </w:rPr>
              <w:t xml:space="preserve">ผู้รับผิดชอบ </w:t>
            </w:r>
            <w:r w:rsidRPr="00133D5A">
              <w:rPr>
                <w:rFonts w:ascii="TH Niramit AS" w:hAnsi="TH Niramit AS" w:cs="TH Niramit AS"/>
                <w:b/>
                <w:bCs/>
                <w:sz w:val="32"/>
                <w:szCs w:val="32"/>
              </w:rPr>
              <w:t>Criteria</w:t>
            </w:r>
          </w:p>
        </w:tc>
        <w:tc>
          <w:tcPr>
            <w:tcW w:w="284" w:type="dxa"/>
            <w:hideMark/>
          </w:tcPr>
          <w:p w14:paraId="47601F1B" w14:textId="77777777" w:rsidR="00F969BD" w:rsidRPr="00133D5A" w:rsidRDefault="00F969BD">
            <w:pPr>
              <w:rPr>
                <w:rFonts w:ascii="TH Niramit AS" w:hAnsi="TH Niramit AS" w:cs="TH Niramit AS"/>
                <w:b/>
                <w:bCs/>
                <w:sz w:val="32"/>
                <w:szCs w:val="32"/>
                <w:cs/>
              </w:rPr>
            </w:pPr>
            <w:r w:rsidRPr="00133D5A">
              <w:rPr>
                <w:rFonts w:ascii="TH Niramit AS" w:hAnsi="TH Niramit AS" w:cs="TH Niramit AS"/>
                <w:b/>
                <w:bCs/>
                <w:sz w:val="32"/>
                <w:szCs w:val="32"/>
                <w:cs/>
              </w:rPr>
              <w:t>:</w:t>
            </w:r>
          </w:p>
        </w:tc>
        <w:tc>
          <w:tcPr>
            <w:tcW w:w="6636" w:type="dxa"/>
            <w:hideMark/>
          </w:tcPr>
          <w:p w14:paraId="1537B341" w14:textId="230B2989" w:rsidR="00F969BD" w:rsidRPr="00133D5A" w:rsidRDefault="002420A4">
            <w:pPr>
              <w:rPr>
                <w:rFonts w:ascii="TH Niramit AS" w:hAnsi="TH Niramit AS" w:cs="TH Niramit AS"/>
                <w:sz w:val="32"/>
                <w:szCs w:val="32"/>
              </w:rPr>
            </w:pPr>
            <w:r w:rsidRPr="00133D5A">
              <w:rPr>
                <w:rFonts w:ascii="TH Niramit AS" w:hAnsi="TH Niramit AS" w:cs="TH Niramit AS"/>
                <w:sz w:val="32"/>
                <w:szCs w:val="32"/>
                <w:cs/>
              </w:rPr>
              <w:t>มยุรี  แก้วประภา</w:t>
            </w:r>
            <w:r w:rsidR="00F969BD" w:rsidRPr="00133D5A">
              <w:rPr>
                <w:rFonts w:ascii="TH Niramit AS" w:hAnsi="TH Niramit AS" w:cs="TH Niramit AS"/>
                <w:sz w:val="32"/>
                <w:szCs w:val="32"/>
              </w:rPr>
              <w:t xml:space="preserve"> </w:t>
            </w:r>
            <w:r w:rsidR="0040355B" w:rsidRPr="00133D5A">
              <w:rPr>
                <w:rFonts w:ascii="TH Niramit AS" w:hAnsi="TH Niramit AS" w:cs="TH Niramit AS"/>
                <w:sz w:val="32"/>
                <w:szCs w:val="32"/>
                <w:cs/>
              </w:rPr>
              <w:t>/ สุนัดดา สัตตวัตรกุล</w:t>
            </w:r>
          </w:p>
        </w:tc>
      </w:tr>
      <w:tr w:rsidR="00F969BD" w:rsidRPr="00133D5A" w14:paraId="26F8E87D" w14:textId="77777777" w:rsidTr="002420A4">
        <w:tc>
          <w:tcPr>
            <w:tcW w:w="2260" w:type="dxa"/>
            <w:gridSpan w:val="3"/>
            <w:hideMark/>
          </w:tcPr>
          <w:p w14:paraId="1E300163" w14:textId="77777777" w:rsidR="00F969BD" w:rsidRPr="00133D5A" w:rsidRDefault="00F969BD">
            <w:pPr>
              <w:rPr>
                <w:rFonts w:ascii="TH Niramit AS" w:hAnsi="TH Niramit AS" w:cs="TH Niramit AS"/>
                <w:b/>
                <w:bCs/>
                <w:sz w:val="32"/>
                <w:szCs w:val="32"/>
                <w:cs/>
              </w:rPr>
            </w:pPr>
            <w:r w:rsidRPr="00133D5A">
              <w:rPr>
                <w:rFonts w:ascii="TH Niramit AS" w:hAnsi="TH Niramit AS" w:cs="TH Niramit AS"/>
                <w:b/>
                <w:bCs/>
                <w:sz w:val="32"/>
                <w:szCs w:val="32"/>
                <w:cs/>
              </w:rPr>
              <w:t>หน่วยงาน</w:t>
            </w:r>
          </w:p>
        </w:tc>
        <w:tc>
          <w:tcPr>
            <w:tcW w:w="284" w:type="dxa"/>
            <w:hideMark/>
          </w:tcPr>
          <w:p w14:paraId="32B20769" w14:textId="77777777" w:rsidR="00F969BD" w:rsidRPr="00133D5A" w:rsidRDefault="00F969BD">
            <w:pPr>
              <w:rPr>
                <w:rFonts w:ascii="TH Niramit AS" w:hAnsi="TH Niramit AS" w:cs="TH Niramit AS"/>
                <w:b/>
                <w:bCs/>
                <w:sz w:val="32"/>
                <w:szCs w:val="32"/>
                <w:cs/>
              </w:rPr>
            </w:pPr>
            <w:r w:rsidRPr="00133D5A">
              <w:rPr>
                <w:rFonts w:ascii="TH Niramit AS" w:hAnsi="TH Niramit AS" w:cs="TH Niramit AS"/>
                <w:b/>
                <w:bCs/>
                <w:sz w:val="32"/>
                <w:szCs w:val="32"/>
                <w:cs/>
              </w:rPr>
              <w:t>:</w:t>
            </w:r>
          </w:p>
        </w:tc>
        <w:tc>
          <w:tcPr>
            <w:tcW w:w="6636" w:type="dxa"/>
            <w:hideMark/>
          </w:tcPr>
          <w:p w14:paraId="72D315D1" w14:textId="42484435" w:rsidR="00F969BD" w:rsidRPr="00133D5A" w:rsidRDefault="002420A4">
            <w:pPr>
              <w:rPr>
                <w:rFonts w:ascii="TH Niramit AS" w:hAnsi="TH Niramit AS" w:cs="TH Niramit AS"/>
                <w:sz w:val="32"/>
                <w:szCs w:val="32"/>
              </w:rPr>
            </w:pPr>
            <w:r w:rsidRPr="00133D5A">
              <w:rPr>
                <w:rFonts w:ascii="TH Niramit AS" w:hAnsi="TH Niramit AS" w:cs="TH Niramit AS"/>
                <w:sz w:val="32"/>
                <w:szCs w:val="32"/>
                <w:cs/>
              </w:rPr>
              <w:t>กองบริหารทรัพยากรบุคคล</w:t>
            </w:r>
            <w:r w:rsidR="0040355B" w:rsidRPr="00133D5A">
              <w:rPr>
                <w:rFonts w:ascii="TH Niramit AS" w:hAnsi="TH Niramit AS" w:cs="TH Niramit AS"/>
                <w:sz w:val="32"/>
                <w:szCs w:val="32"/>
                <w:cs/>
              </w:rPr>
              <w:t xml:space="preserve"> / กองกลาง</w:t>
            </w:r>
          </w:p>
        </w:tc>
      </w:tr>
    </w:tbl>
    <w:p w14:paraId="35FBDD1A" w14:textId="77777777" w:rsidR="00F969BD" w:rsidRPr="00133D5A" w:rsidRDefault="00F969BD" w:rsidP="00F969BD">
      <w:pPr>
        <w:jc w:val="thaiDistribute"/>
        <w:rPr>
          <w:rFonts w:ascii="TH Niramit AS" w:eastAsia="Times New Roman" w:hAnsi="TH Niramit AS" w:cs="TH Niramit AS"/>
          <w:sz w:val="32"/>
          <w:szCs w:val="32"/>
          <w:cs/>
        </w:rPr>
      </w:pPr>
    </w:p>
    <w:p w14:paraId="1A5DF22F" w14:textId="77777777" w:rsidR="00F969BD" w:rsidRPr="00133D5A" w:rsidRDefault="00F969BD" w:rsidP="00F969BD">
      <w:pPr>
        <w:jc w:val="thaiDistribute"/>
        <w:rPr>
          <w:rFonts w:ascii="TH Niramit AS" w:hAnsi="TH Niramit AS" w:cs="TH Niramit AS"/>
          <w:b/>
          <w:bCs/>
          <w:sz w:val="32"/>
          <w:szCs w:val="32"/>
          <w:u w:val="single"/>
          <w:cs/>
        </w:rPr>
      </w:pPr>
      <w:r w:rsidRPr="00133D5A">
        <w:rPr>
          <w:rFonts w:ascii="TH Niramit AS" w:hAnsi="TH Niramit AS" w:cs="TH Niramit AS"/>
          <w:b/>
          <w:bCs/>
          <w:sz w:val="32"/>
          <w:szCs w:val="32"/>
          <w:u w:val="single"/>
          <w:cs/>
        </w:rPr>
        <w:t xml:space="preserve">ผลการดำเนินงาน : </w:t>
      </w:r>
    </w:p>
    <w:p w14:paraId="36E68A95" w14:textId="77777777" w:rsidR="0097648B" w:rsidRDefault="0097648B" w:rsidP="0040355B">
      <w:pPr>
        <w:ind w:firstLine="1134"/>
        <w:jc w:val="thaiDistribute"/>
        <w:rPr>
          <w:rFonts w:ascii="TH Niramit AS" w:hAnsi="TH Niramit AS" w:cs="TH Niramit AS"/>
          <w:sz w:val="32"/>
          <w:szCs w:val="32"/>
        </w:rPr>
      </w:pPr>
    </w:p>
    <w:p w14:paraId="378E0D20" w14:textId="1355E548" w:rsidR="00D36E00" w:rsidRPr="00D36E00" w:rsidRDefault="00D36E00" w:rsidP="00D36E00">
      <w:pPr>
        <w:ind w:firstLine="1134"/>
        <w:jc w:val="thaiDistribute"/>
        <w:rPr>
          <w:rFonts w:ascii="TH Niramit AS" w:hAnsi="TH Niramit AS" w:cs="TH Niramit AS"/>
          <w:sz w:val="32"/>
          <w:szCs w:val="32"/>
        </w:rPr>
      </w:pPr>
      <w:r w:rsidRPr="00D36E00">
        <w:rPr>
          <w:rFonts w:ascii="TH Niramit AS" w:hAnsi="TH Niramit AS" w:cs="TH Niramit AS"/>
          <w:sz w:val="32"/>
          <w:szCs w:val="32"/>
          <w:cs/>
        </w:rPr>
        <w:t>การกำหนดหน้าที่ความรับผิดชอบของบุคลากรประเภทวิชาการ ปรากฎตาม</w:t>
      </w:r>
      <w:hyperlink r:id="rId5" w:history="1">
        <w:r w:rsidRPr="00D36E00">
          <w:rPr>
            <w:rStyle w:val="Hyperlink"/>
            <w:rFonts w:ascii="TH Niramit AS" w:hAnsi="TH Niramit AS" w:cs="TH Niramit AS" w:hint="cs"/>
            <w:sz w:val="32"/>
            <w:szCs w:val="32"/>
            <w:cs/>
          </w:rPr>
          <w:t>มาตรฐานกำหนดตำแหน่งพนักงานมหาวิทยาลัยประเภทวิชาการ</w:t>
        </w:r>
      </w:hyperlink>
      <w:r w:rsidRPr="00D36E00">
        <w:rPr>
          <w:rFonts w:ascii="TH Niramit AS" w:hAnsi="TH Niramit AS" w:cs="TH Niramit AS"/>
          <w:sz w:val="32"/>
          <w:szCs w:val="32"/>
        </w:rPr>
        <w:t xml:space="preserve"> </w:t>
      </w:r>
      <w:r w:rsidRPr="00D36E00">
        <w:rPr>
          <w:rFonts w:ascii="TH Niramit AS" w:hAnsi="TH Niramit AS" w:cs="TH Niramit AS"/>
          <w:sz w:val="32"/>
          <w:szCs w:val="32"/>
          <w:cs/>
        </w:rPr>
        <w:t>ควบคู่กับ</w:t>
      </w:r>
      <w:hyperlink r:id="rId6" w:history="1">
        <w:r w:rsidRPr="00A03EDC">
          <w:rPr>
            <w:rStyle w:val="Hyperlink"/>
            <w:rFonts w:ascii="TH Niramit AS" w:hAnsi="TH Niramit AS" w:cs="TH Niramit AS" w:hint="cs"/>
            <w:sz w:val="32"/>
            <w:szCs w:val="32"/>
            <w:cs/>
          </w:rPr>
          <w:t>มาตรฐานภาระงานขั้นต่ำ</w:t>
        </w:r>
      </w:hyperlink>
      <w:r w:rsidRPr="00D36E00">
        <w:rPr>
          <w:rFonts w:ascii="TH Niramit AS" w:hAnsi="TH Niramit AS" w:cs="TH Niramit AS"/>
          <w:sz w:val="32"/>
          <w:szCs w:val="32"/>
          <w:cs/>
        </w:rPr>
        <w:t>ที่มหาวิทยาลัยกำหนดไว้ โดยการกำหนด</w:t>
      </w:r>
      <w:hyperlink r:id="rId7" w:history="1">
        <w:r w:rsidRPr="00A03EDC">
          <w:rPr>
            <w:rStyle w:val="Hyperlink"/>
            <w:rFonts w:ascii="TH Niramit AS" w:hAnsi="TH Niramit AS" w:cs="TH Niramit AS" w:hint="cs"/>
            <w:sz w:val="32"/>
            <w:szCs w:val="32"/>
            <w:cs/>
          </w:rPr>
          <w:t>มาตรฐานภาระงานขั้นต่ำ</w:t>
        </w:r>
      </w:hyperlink>
      <w:r w:rsidRPr="00D36E00">
        <w:rPr>
          <w:rFonts w:ascii="TH Niramit AS" w:hAnsi="TH Niramit AS" w:cs="TH Niramit AS"/>
          <w:sz w:val="32"/>
          <w:szCs w:val="32"/>
          <w:cs/>
        </w:rPr>
        <w:t xml:space="preserve">ดังกล่าวครอบคลุมทั้ง 4 พันธกิจ </w:t>
      </w:r>
      <w:r>
        <w:rPr>
          <w:rFonts w:ascii="TH Niramit AS" w:hAnsi="TH Niramit AS" w:cs="TH Niramit AS"/>
          <w:sz w:val="32"/>
          <w:szCs w:val="32"/>
          <w:cs/>
        </w:rPr>
        <w:br/>
      </w:r>
      <w:r w:rsidRPr="00D36E00">
        <w:rPr>
          <w:rFonts w:ascii="TH Niramit AS" w:hAnsi="TH Niramit AS" w:cs="TH Niramit AS"/>
          <w:sz w:val="32"/>
          <w:szCs w:val="32"/>
          <w:cs/>
        </w:rPr>
        <w:t xml:space="preserve">(การสอน การวิจัย การบริการวิชาการ และทะนุบำรุงศิลปวัฒนธรรม)  </w:t>
      </w:r>
    </w:p>
    <w:p w14:paraId="5F9A44E7" w14:textId="62DA7A4D" w:rsidR="00D36E00" w:rsidRPr="00D36E00" w:rsidRDefault="00D36E00" w:rsidP="00D36E00">
      <w:pPr>
        <w:ind w:firstLine="1134"/>
        <w:jc w:val="thaiDistribute"/>
        <w:rPr>
          <w:rFonts w:ascii="TH Niramit AS" w:hAnsi="TH Niramit AS" w:cs="TH Niramit AS"/>
          <w:sz w:val="32"/>
          <w:szCs w:val="32"/>
        </w:rPr>
      </w:pPr>
      <w:r w:rsidRPr="00D36E00">
        <w:rPr>
          <w:rFonts w:ascii="TH Niramit AS" w:hAnsi="TH Niramit AS" w:cs="TH Niramit AS"/>
          <w:sz w:val="32"/>
          <w:szCs w:val="32"/>
          <w:cs/>
        </w:rPr>
        <w:t>สำหรับการประเมินผลการปฏิบัติงานนั้น มหาวิทยาลัยได้กำหนด</w:t>
      </w:r>
      <w:hyperlink r:id="rId8" w:history="1">
        <w:r w:rsidRPr="00A03EDC">
          <w:rPr>
            <w:rStyle w:val="Hyperlink"/>
            <w:rFonts w:ascii="TH Niramit AS" w:hAnsi="TH Niramit AS" w:cs="TH Niramit AS" w:hint="cs"/>
            <w:sz w:val="32"/>
            <w:szCs w:val="32"/>
            <w:cs/>
          </w:rPr>
          <w:t>หลักเกณฑ์</w:t>
        </w:r>
        <w:r w:rsidRPr="00A03EDC">
          <w:rPr>
            <w:rStyle w:val="Hyperlink"/>
            <w:rFonts w:ascii="TH Niramit AS" w:hAnsi="TH Niramit AS" w:cs="TH Niramit AS"/>
            <w:sz w:val="32"/>
            <w:szCs w:val="32"/>
            <w:cs/>
          </w:rPr>
          <w:t>การคิดภาระงานของผู้ปฏิบัติงานในมหาวิทยาลัยประเภทวิชาการ</w:t>
        </w:r>
      </w:hyperlink>
      <w:r w:rsidRPr="00D36E00">
        <w:rPr>
          <w:rFonts w:ascii="TH Niramit AS" w:hAnsi="TH Niramit AS" w:cs="TH Niramit AS"/>
          <w:sz w:val="32"/>
          <w:szCs w:val="32"/>
          <w:cs/>
        </w:rPr>
        <w:t xml:space="preserve"> โดยแยกเป็น 4 พันธกิจเช่นเดียวกัน ซึ่งบุคลากรสายวิชาการสามารถวางแผนการปฏิบัติงานประจำปีโดยตกลงกับหัวหน้าส่วนงานภายใต้การจัดทำข้อตกลงภาระงานประจำปี  โดยการกำหนดหลักเกณฑ์การคิดภาระงานฯ ดังกล่าวนั้น ได้มีการจัดทำโดยการประชาพิจารณ์ไปยังบุคลากรประเภทวิชาการ และผ่านการเสนอความเห็นจากสภาพนักงานมหาวิทยาลัย ก่อนดำเนินการประกาศใช้หลักเกณฑ์ดังกล่าว</w:t>
      </w:r>
    </w:p>
    <w:p w14:paraId="6B3E1A0F" w14:textId="77777777" w:rsidR="00BE6D39" w:rsidRDefault="00D36E00" w:rsidP="00BE6D39">
      <w:pPr>
        <w:ind w:firstLine="1134"/>
        <w:jc w:val="thaiDistribute"/>
        <w:rPr>
          <w:rFonts w:ascii="TH Niramit AS" w:hAnsi="TH Niramit AS" w:cs="TH Niramit AS"/>
          <w:sz w:val="32"/>
          <w:szCs w:val="32"/>
        </w:rPr>
      </w:pPr>
      <w:r w:rsidRPr="00D36E00">
        <w:rPr>
          <w:rFonts w:ascii="TH Niramit AS" w:hAnsi="TH Niramit AS" w:cs="TH Niramit AS"/>
          <w:sz w:val="32"/>
          <w:szCs w:val="32"/>
          <w:cs/>
        </w:rPr>
        <w:t>ทั้งนี้ นอกเหนือจากการปฏิบัติงานตามตำแหน่งแล้วนั้น บุคลากรประเภทวิชาการยังจะต้องปฏิบัติตาม</w:t>
      </w:r>
      <w:hyperlink r:id="rId9" w:history="1">
        <w:r w:rsidRPr="00A03EDC">
          <w:rPr>
            <w:rStyle w:val="Hyperlink"/>
            <w:rFonts w:ascii="TH Niramit AS" w:hAnsi="TH Niramit AS" w:cs="TH Niramit AS" w:hint="cs"/>
            <w:sz w:val="32"/>
            <w:szCs w:val="32"/>
            <w:cs/>
          </w:rPr>
          <w:t>ข้อบังคับมหาวิทยาลัยแม่โจ้ ว่าด้วยจรรยาบรรณ</w:t>
        </w:r>
      </w:hyperlink>
      <w:r w:rsidRPr="00D36E00">
        <w:rPr>
          <w:rFonts w:ascii="TH Niramit AS" w:hAnsi="TH Niramit AS" w:cs="TH Niramit AS"/>
          <w:sz w:val="32"/>
          <w:szCs w:val="32"/>
          <w:cs/>
        </w:rPr>
        <w:t xml:space="preserve"> ซึ่งได้กำหนดจรรยาบรรณต่อหน่วยงาน ต่อผู้บังคับบัญชา ต่อผู้ใต้บังคับบัญชา ต่อผู้ร่วมงาน ต่อผู้มาติดต่องานและสังคม และที่สำคัญบุคลากรประเภทวิชาการ จะต้องมีจรรยาบรรณวิชาชีพคณาจารย์อีกด้วย ซึ่งสภาพนักงานได้ดำเนินการจัดโครงการที่เกี่ยวข้องกับการส่งเสริมจรรยาบรรณ เป็นประจำทุกปี</w:t>
      </w:r>
    </w:p>
    <w:p w14:paraId="5842B918" w14:textId="2F1AA332" w:rsidR="00BE6D39" w:rsidRPr="00BE6D39" w:rsidRDefault="00BE6D39" w:rsidP="00BE6D39">
      <w:pPr>
        <w:ind w:firstLine="1134"/>
        <w:jc w:val="thaiDistribute"/>
        <w:rPr>
          <w:rFonts w:ascii="TH Niramit AS" w:hAnsi="TH Niramit AS" w:cs="TH Niramit AS" w:hint="cs"/>
          <w:sz w:val="32"/>
          <w:szCs w:val="32"/>
        </w:rPr>
      </w:pPr>
      <w:r>
        <w:rPr>
          <w:rFonts w:ascii="TH Niramit AS" w:hAnsi="TH Niramit AS" w:cs="TH Niramit AS" w:hint="cs"/>
          <w:sz w:val="32"/>
          <w:szCs w:val="32"/>
          <w:cs/>
        </w:rPr>
        <w:t xml:space="preserve">โดย </w:t>
      </w:r>
      <w:r w:rsidRPr="00BE6D39">
        <w:rPr>
          <w:rFonts w:ascii="TH Niramit AS" w:hAnsi="TH Niramit AS" w:cs="TH Niramit AS"/>
          <w:sz w:val="32"/>
          <w:szCs w:val="32"/>
          <w:cs/>
        </w:rPr>
        <w:t>มหาวิทยาลัยได้ดำเนินโครงการส่งเสริมจรรยาบรรณวิชาชีพ อาจารย์และบุคลากรมหาวิทยาลัย ประจำปี 256</w:t>
      </w:r>
      <w:r w:rsidRPr="00BE6D39">
        <w:rPr>
          <w:rFonts w:ascii="TH Niramit AS" w:hAnsi="TH Niramit AS" w:cs="TH Niramit AS"/>
          <w:sz w:val="32"/>
          <w:szCs w:val="32"/>
        </w:rPr>
        <w:t>6</w:t>
      </w:r>
      <w:r w:rsidRPr="00BE6D39">
        <w:rPr>
          <w:rFonts w:ascii="TH Niramit AS" w:hAnsi="TH Niramit AS" w:cs="TH Niramit AS"/>
          <w:sz w:val="32"/>
          <w:szCs w:val="32"/>
          <w:cs/>
        </w:rPr>
        <w:t xml:space="preserve"> และได้ดำเนินงานโดยคณะอนุกรรมการฝ่าย</w:t>
      </w:r>
      <w:r w:rsidRPr="00BE6D39">
        <w:rPr>
          <w:rStyle w:val="Strong"/>
          <w:rFonts w:ascii="TH Niramit AS" w:hAnsi="TH Niramit AS" w:cs="TH Niramit AS"/>
          <w:b w:val="0"/>
          <w:bCs w:val="0"/>
          <w:color w:val="222222"/>
          <w:sz w:val="32"/>
          <w:szCs w:val="32"/>
          <w:shd w:val="clear" w:color="auto" w:fill="FFFFFF"/>
          <w:cs/>
        </w:rPr>
        <w:t>ประชาสัมพันธ์และสื่อสารองค์กร สภาพนักงาน มีการประชุม</w:t>
      </w:r>
      <w:r w:rsidRPr="00BE6D39">
        <w:rPr>
          <w:rFonts w:ascii="TH Niramit AS" w:hAnsi="TH Niramit AS" w:cs="TH Niramit AS"/>
          <w:b/>
          <w:bCs/>
          <w:sz w:val="32"/>
          <w:szCs w:val="32"/>
          <w:cs/>
        </w:rPr>
        <w:t>วางแผน</w:t>
      </w:r>
      <w:r w:rsidRPr="00BE6D39">
        <w:rPr>
          <w:rFonts w:ascii="TH Niramit AS" w:hAnsi="TH Niramit AS" w:cs="TH Niramit AS"/>
          <w:sz w:val="32"/>
          <w:szCs w:val="32"/>
          <w:cs/>
        </w:rPr>
        <w:t>กำหนดขั้นตอนกิจกรรมวิธีการดำเนินงาน จำนวน</w:t>
      </w:r>
      <w:r>
        <w:rPr>
          <w:rFonts w:ascii="TH Niramit AS" w:hAnsi="TH Niramit AS" w:cs="TH Niramit AS"/>
          <w:sz w:val="32"/>
          <w:szCs w:val="32"/>
          <w:cs/>
        </w:rPr>
        <w:br/>
      </w:r>
      <w:r w:rsidRPr="00BE6D39">
        <w:rPr>
          <w:rFonts w:ascii="TH Niramit AS" w:hAnsi="TH Niramit AS" w:cs="TH Niramit AS"/>
          <w:sz w:val="32"/>
          <w:szCs w:val="32"/>
          <w:cs/>
        </w:rPr>
        <w:t xml:space="preserve">2 โครงการ ดังนี้ </w:t>
      </w:r>
    </w:p>
    <w:p w14:paraId="0BF256B8" w14:textId="36B557C1" w:rsidR="00BE6D39" w:rsidRPr="00BE6D39" w:rsidRDefault="002E6686" w:rsidP="002F0D0D">
      <w:pPr>
        <w:pStyle w:val="ListParagraph"/>
        <w:numPr>
          <w:ilvl w:val="0"/>
          <w:numId w:val="5"/>
        </w:numPr>
        <w:tabs>
          <w:tab w:val="left" w:pos="1560"/>
        </w:tabs>
        <w:ind w:left="0" w:firstLine="1134"/>
        <w:jc w:val="thaiDistribute"/>
        <w:rPr>
          <w:rFonts w:ascii="TH Niramit AS" w:hAnsi="TH Niramit AS" w:cs="TH Niramit AS"/>
          <w:sz w:val="32"/>
          <w:szCs w:val="32"/>
        </w:rPr>
      </w:pPr>
      <w:hyperlink r:id="rId10" w:history="1">
        <w:r w:rsidR="00BE6D39" w:rsidRPr="002E6686">
          <w:rPr>
            <w:rStyle w:val="Hyperlink"/>
            <w:rFonts w:ascii="TH Niramit AS" w:hAnsi="TH Niramit AS" w:cs="TH Niramit AS"/>
            <w:sz w:val="32"/>
            <w:szCs w:val="32"/>
            <w:cs/>
          </w:rPr>
          <w:t>โครงการส่งเสริมจรรยาบรรณวิชาชีพอาจารย์และบุคลากรมหาวิทยาลัย ประจำปี 2566</w:t>
        </w:r>
      </w:hyperlink>
      <w:r w:rsidR="00BE6D39" w:rsidRPr="00BE6D39">
        <w:rPr>
          <w:rFonts w:ascii="TH Niramit AS" w:hAnsi="TH Niramit AS" w:cs="TH Niramit AS"/>
          <w:sz w:val="32"/>
          <w:szCs w:val="32"/>
          <w:cs/>
        </w:rPr>
        <w:t xml:space="preserve"> </w:t>
      </w:r>
      <w:r w:rsidR="002F0D0D">
        <w:rPr>
          <w:rFonts w:ascii="TH Niramit AS" w:hAnsi="TH Niramit AS" w:cs="TH Niramit AS"/>
          <w:sz w:val="32"/>
          <w:szCs w:val="32"/>
        </w:rPr>
        <w:t>:</w:t>
      </w:r>
      <w:r w:rsidR="00BE6D39" w:rsidRPr="00BE6D39">
        <w:rPr>
          <w:rFonts w:ascii="TH Niramit AS" w:hAnsi="TH Niramit AS" w:cs="TH Niramit AS"/>
          <w:sz w:val="32"/>
          <w:szCs w:val="32"/>
          <w:cs/>
        </w:rPr>
        <w:t xml:space="preserve"> โดยเชิญผู้แทนจากผู้บริหาร สายว</w:t>
      </w:r>
      <w:r w:rsidR="002F0D0D">
        <w:rPr>
          <w:rFonts w:ascii="TH Niramit AS" w:hAnsi="TH Niramit AS" w:cs="TH Niramit AS" w:hint="cs"/>
          <w:sz w:val="32"/>
          <w:szCs w:val="32"/>
          <w:cs/>
        </w:rPr>
        <w:t>ิ</w:t>
      </w:r>
      <w:r w:rsidR="00BE6D39" w:rsidRPr="00BE6D39">
        <w:rPr>
          <w:rFonts w:ascii="TH Niramit AS" w:hAnsi="TH Niramit AS" w:cs="TH Niramit AS"/>
          <w:sz w:val="32"/>
          <w:szCs w:val="32"/>
          <w:cs/>
        </w:rPr>
        <w:t>ชาการ และสายสนับสนุนของแต่ละส่วนงาน</w:t>
      </w:r>
      <w:r w:rsidR="002F0D0D">
        <w:rPr>
          <w:rFonts w:ascii="TH Niramit AS" w:hAnsi="TH Niramit AS" w:cs="TH Niramit AS" w:hint="cs"/>
          <w:sz w:val="32"/>
          <w:szCs w:val="32"/>
          <w:cs/>
        </w:rPr>
        <w:t xml:space="preserve"> </w:t>
      </w:r>
      <w:r w:rsidR="00BE6D39" w:rsidRPr="00BE6D39">
        <w:rPr>
          <w:rFonts w:ascii="TH Niramit AS" w:hAnsi="TH Niramit AS" w:cs="TH Niramit AS"/>
          <w:sz w:val="32"/>
          <w:szCs w:val="32"/>
          <w:cs/>
        </w:rPr>
        <w:t xml:space="preserve">มาร่วมโครงการ จำนวนทั้งสิ้น 113 คน แบ่งเป็นกิจกรรมภาคบรรยาย เรื่อง คุณธรรม จริยธรรม และจรรยาบรรณวิชาชีพอาจารย์และบุคลากรมหาวิทยาลัยแม่โจ้ เพื่อส่งเสริมและสร้างความรู้ความเข้าใจด้านคุณธรรม </w:t>
      </w:r>
      <w:r w:rsidR="00BE6D39" w:rsidRPr="00BE6D39">
        <w:rPr>
          <w:rFonts w:ascii="TH Niramit AS" w:hAnsi="TH Niramit AS" w:cs="TH Niramit AS"/>
          <w:sz w:val="32"/>
          <w:szCs w:val="32"/>
          <w:cs/>
        </w:rPr>
        <w:lastRenderedPageBreak/>
        <w:t xml:space="preserve">จริยธรรม และจรรยาบรรณของบุคลากรมหาวิทยาลัย ตามระบบการบริหารงานบุคคลมหาวิทยาลัยในระดับดีขึ้นไป และกิจกรรมภาคปฏิบัติ ตัวแทนของบุคลากรร่วมกันจัดทำแนวทางปฏิบัติ จัดทำแนวทางปฏิบัติ </w:t>
      </w:r>
      <w:r w:rsidR="00BE6D39" w:rsidRPr="00BE6D39">
        <w:rPr>
          <w:rFonts w:ascii="TH Niramit AS" w:hAnsi="TH Niramit AS" w:cs="TH Niramit AS"/>
          <w:sz w:val="32"/>
          <w:szCs w:val="32"/>
        </w:rPr>
        <w:t xml:space="preserve">Dos &amp; Don’ts </w:t>
      </w:r>
      <w:r w:rsidR="00BE6D39" w:rsidRPr="00BE6D39">
        <w:rPr>
          <w:rFonts w:ascii="TH Niramit AS" w:hAnsi="TH Niramit AS" w:cs="TH Niramit AS"/>
          <w:sz w:val="32"/>
          <w:szCs w:val="32"/>
          <w:cs/>
        </w:rPr>
        <w:t>ลดความสับสนเกี่ยวกับพฤติกรรมสีเทาของบุคลากรมหาวิทยาลัยแม่โจ้ ได้ข้อสรุปแนวทางข้อควรทำ (</w:t>
      </w:r>
      <w:r w:rsidR="00BE6D39" w:rsidRPr="00BE6D39">
        <w:rPr>
          <w:rFonts w:ascii="TH Niramit AS" w:hAnsi="TH Niramit AS" w:cs="TH Niramit AS"/>
          <w:sz w:val="32"/>
          <w:szCs w:val="32"/>
        </w:rPr>
        <w:t xml:space="preserve">Do) </w:t>
      </w:r>
      <w:r w:rsidR="00BE6D39" w:rsidRPr="00BE6D39">
        <w:rPr>
          <w:rFonts w:ascii="TH Niramit AS" w:hAnsi="TH Niramit AS" w:cs="TH Niramit AS"/>
          <w:sz w:val="32"/>
          <w:szCs w:val="32"/>
          <w:cs/>
        </w:rPr>
        <w:t>และไม่ควรทำ (</w:t>
      </w:r>
      <w:r w:rsidR="00BE6D39" w:rsidRPr="00BE6D39">
        <w:rPr>
          <w:rFonts w:ascii="TH Niramit AS" w:hAnsi="TH Niramit AS" w:cs="TH Niramit AS"/>
          <w:sz w:val="32"/>
          <w:szCs w:val="32"/>
        </w:rPr>
        <w:t xml:space="preserve">Don’t) </w:t>
      </w:r>
      <w:r w:rsidR="00BE6D39" w:rsidRPr="00BE6D39">
        <w:rPr>
          <w:rFonts w:ascii="TH Niramit AS" w:hAnsi="TH Niramit AS" w:cs="TH Niramit AS"/>
          <w:sz w:val="32"/>
          <w:szCs w:val="32"/>
          <w:cs/>
        </w:rPr>
        <w:t xml:space="preserve">ของมหาวิทยาลัยแม่โจ้ ตามหลักการครองตน ครองคน ครองงาน จัดเมื่อวันที่ </w:t>
      </w:r>
      <w:r w:rsidR="00BE6D39" w:rsidRPr="00BE6D39">
        <w:rPr>
          <w:rFonts w:ascii="TH Niramit AS" w:hAnsi="TH Niramit AS" w:cs="TH Niramit AS"/>
          <w:sz w:val="32"/>
          <w:szCs w:val="32"/>
        </w:rPr>
        <w:t xml:space="preserve">13 </w:t>
      </w:r>
      <w:r w:rsidR="00BE6D39" w:rsidRPr="00BE6D39">
        <w:rPr>
          <w:rFonts w:ascii="TH Niramit AS" w:hAnsi="TH Niramit AS" w:cs="TH Niramit AS"/>
          <w:sz w:val="32"/>
          <w:szCs w:val="32"/>
          <w:cs/>
        </w:rPr>
        <w:t xml:space="preserve">มิถุนายน </w:t>
      </w:r>
      <w:r w:rsidR="00BE6D39" w:rsidRPr="00BE6D39">
        <w:rPr>
          <w:rFonts w:ascii="TH Niramit AS" w:hAnsi="TH Niramit AS" w:cs="TH Niramit AS"/>
          <w:sz w:val="32"/>
          <w:szCs w:val="32"/>
        </w:rPr>
        <w:t xml:space="preserve">2566 </w:t>
      </w:r>
      <w:r w:rsidR="00BE6D39" w:rsidRPr="00BE6D39">
        <w:rPr>
          <w:rFonts w:ascii="TH Niramit AS" w:hAnsi="TH Niramit AS" w:cs="TH Niramit AS"/>
          <w:sz w:val="32"/>
          <w:szCs w:val="32"/>
          <w:cs/>
        </w:rPr>
        <w:t>ณ โรงแรมกรีนเลครีสอร์ท เชียงใหม่</w:t>
      </w:r>
    </w:p>
    <w:p w14:paraId="69FCE607" w14:textId="044A79BB" w:rsidR="00BE6D39" w:rsidRPr="002F0D0D" w:rsidRDefault="002E6686" w:rsidP="00F813E3">
      <w:pPr>
        <w:pStyle w:val="ListParagraph"/>
        <w:numPr>
          <w:ilvl w:val="0"/>
          <w:numId w:val="5"/>
        </w:numPr>
        <w:tabs>
          <w:tab w:val="left" w:pos="1560"/>
        </w:tabs>
        <w:ind w:left="0" w:firstLine="1134"/>
        <w:jc w:val="thaiDistribute"/>
        <w:rPr>
          <w:rFonts w:ascii="TH Niramit AS" w:hAnsi="TH Niramit AS" w:cs="TH Niramit AS"/>
          <w:sz w:val="32"/>
          <w:szCs w:val="32"/>
        </w:rPr>
      </w:pPr>
      <w:hyperlink r:id="rId11" w:history="1">
        <w:r w:rsidR="00BE6D39" w:rsidRPr="002E6686">
          <w:rPr>
            <w:rStyle w:val="Hyperlink"/>
            <w:rFonts w:ascii="TH Niramit AS" w:hAnsi="TH Niramit AS" w:cs="TH Niramit AS"/>
            <w:sz w:val="32"/>
            <w:szCs w:val="32"/>
            <w:cs/>
          </w:rPr>
          <w:t>โครงการพบปะแลกเปลี่ยน และรับฟังความคิดเห็นบุคลากร มหาวิทยาลัยแม่โจ้-</w:t>
        </w:r>
        <w:r w:rsidR="002F0D0D" w:rsidRPr="002E6686">
          <w:rPr>
            <w:rStyle w:val="Hyperlink"/>
            <w:rFonts w:ascii="TH Niramit AS" w:hAnsi="TH Niramit AS" w:cs="TH Niramit AS"/>
            <w:sz w:val="32"/>
            <w:szCs w:val="32"/>
          </w:rPr>
          <w:br/>
        </w:r>
        <w:r w:rsidR="00BE6D39" w:rsidRPr="002E6686">
          <w:rPr>
            <w:rStyle w:val="Hyperlink"/>
            <w:rFonts w:ascii="TH Niramit AS" w:hAnsi="TH Niramit AS" w:cs="TH Niramit AS"/>
            <w:sz w:val="32"/>
            <w:szCs w:val="32"/>
            <w:cs/>
          </w:rPr>
          <w:t>แพร่</w:t>
        </w:r>
        <w:r w:rsidR="002F0D0D" w:rsidRPr="002E6686">
          <w:rPr>
            <w:rStyle w:val="Hyperlink"/>
            <w:rFonts w:ascii="TH Niramit AS" w:hAnsi="TH Niramit AS" w:cs="TH Niramit AS" w:hint="cs"/>
            <w:sz w:val="32"/>
            <w:szCs w:val="32"/>
            <w:cs/>
          </w:rPr>
          <w:t>ฯ</w:t>
        </w:r>
      </w:hyperlink>
      <w:r w:rsidR="002F0D0D" w:rsidRPr="002F0D0D">
        <w:rPr>
          <w:rFonts w:ascii="TH Niramit AS" w:hAnsi="TH Niramit AS" w:cs="TH Niramit AS" w:hint="cs"/>
          <w:sz w:val="32"/>
          <w:szCs w:val="32"/>
          <w:cs/>
        </w:rPr>
        <w:t xml:space="preserve"> </w:t>
      </w:r>
      <w:r w:rsidR="002F0D0D" w:rsidRPr="002F0D0D">
        <w:rPr>
          <w:rFonts w:ascii="TH Niramit AS" w:hAnsi="TH Niramit AS" w:cs="TH Niramit AS"/>
          <w:sz w:val="32"/>
          <w:szCs w:val="32"/>
        </w:rPr>
        <w:t xml:space="preserve">: </w:t>
      </w:r>
      <w:r w:rsidR="00BE6D39" w:rsidRPr="002F0D0D">
        <w:rPr>
          <w:rFonts w:ascii="TH Niramit AS" w:hAnsi="TH Niramit AS" w:cs="TH Niramit AS"/>
          <w:sz w:val="32"/>
          <w:szCs w:val="32"/>
          <w:cs/>
        </w:rPr>
        <w:t xml:space="preserve">ในประเด็นต่าง ๆ ได้แก่ บทบาทหน้าที่ของสภาพนักงานในการส่งเสริมจรรยาบรรณแกบุคลากร ความก้าวหน้าทางวิชาการของสายวิชาการและสายสนับสนุน แจ้งสวัสดิการต่าง ๆ ของมหาวิทยาลัย พร้อมรับฟังความคิดเห็น และรับข้อร้องเรียนจากบุคลากร มหาวิทยาลัยแม่โจ้-แพร่ ฯ จัดเมื่อวันที่ 18 พฤษภาคม 2566 ณ ห้องประชุมกวางบุษราคัม มหาวิทยาลัยแม่โจ้ - แพร่ เฉลิมพระเกียรติ </w:t>
      </w:r>
    </w:p>
    <w:p w14:paraId="26119833" w14:textId="07F3E13E" w:rsidR="00BE6D39" w:rsidRPr="00BE6D39" w:rsidRDefault="002E6686" w:rsidP="00BE6D39">
      <w:pPr>
        <w:ind w:firstLine="1134"/>
        <w:rPr>
          <w:rFonts w:ascii="TH Niramit AS" w:hAnsi="TH Niramit AS" w:cs="TH Niramit AS"/>
          <w:sz w:val="32"/>
          <w:szCs w:val="32"/>
          <w:cs/>
        </w:rPr>
      </w:pPr>
      <w:r>
        <w:rPr>
          <w:rFonts w:ascii="TH Niramit AS" w:hAnsi="TH Niramit AS" w:cs="TH Niramit AS" w:hint="cs"/>
          <w:sz w:val="32"/>
          <w:szCs w:val="32"/>
          <w:cs/>
        </w:rPr>
        <w:t xml:space="preserve">อีกทั้ง </w:t>
      </w:r>
      <w:r w:rsidR="00BE6D39" w:rsidRPr="00BE6D39">
        <w:rPr>
          <w:rFonts w:ascii="TH Niramit AS" w:hAnsi="TH Niramit AS" w:cs="TH Niramit AS"/>
          <w:sz w:val="32"/>
          <w:szCs w:val="32"/>
          <w:cs/>
        </w:rPr>
        <w:t>ได้เผยแพร่คลิปวิดีโอที่เกี่ยวข้องกับจรรยาบรรณของบุคลากร ได้แก่</w:t>
      </w:r>
    </w:p>
    <w:p w14:paraId="0C08A776" w14:textId="36B891CA" w:rsidR="00BE6D39" w:rsidRPr="002E6686" w:rsidRDefault="002E6686" w:rsidP="002E6686">
      <w:pPr>
        <w:pStyle w:val="ListParagraph"/>
        <w:numPr>
          <w:ilvl w:val="1"/>
          <w:numId w:val="7"/>
        </w:numPr>
        <w:ind w:left="1560" w:hanging="426"/>
        <w:rPr>
          <w:rFonts w:ascii="TH Niramit AS" w:hAnsi="TH Niramit AS" w:cs="TH Niramit AS"/>
          <w:sz w:val="32"/>
          <w:szCs w:val="32"/>
        </w:rPr>
      </w:pPr>
      <w:hyperlink r:id="rId12" w:history="1">
        <w:r w:rsidR="00BE6D39" w:rsidRPr="002E6686">
          <w:rPr>
            <w:rStyle w:val="Hyperlink"/>
            <w:rFonts w:ascii="TH Niramit AS" w:hAnsi="TH Niramit AS" w:cs="TH Niramit AS"/>
            <w:sz w:val="32"/>
            <w:szCs w:val="32"/>
            <w:cs/>
          </w:rPr>
          <w:t>ผลประโยชน์ทับซ้อน โดย ปปช.</w:t>
        </w:r>
      </w:hyperlink>
    </w:p>
    <w:p w14:paraId="430CFF8E" w14:textId="3190F257" w:rsidR="00BE6D39" w:rsidRPr="002E6686" w:rsidRDefault="00AF5EC5" w:rsidP="002E6686">
      <w:pPr>
        <w:pStyle w:val="ListParagraph"/>
        <w:numPr>
          <w:ilvl w:val="1"/>
          <w:numId w:val="7"/>
        </w:numPr>
        <w:ind w:left="1560" w:hanging="426"/>
        <w:rPr>
          <w:rFonts w:ascii="TH Niramit AS" w:hAnsi="TH Niramit AS" w:cs="TH Niramit AS"/>
          <w:sz w:val="32"/>
          <w:szCs w:val="32"/>
        </w:rPr>
      </w:pPr>
      <w:hyperlink r:id="rId13" w:history="1">
        <w:r w:rsidR="00BE6D39" w:rsidRPr="00AF5EC5">
          <w:rPr>
            <w:rStyle w:val="Hyperlink"/>
            <w:rFonts w:ascii="TH Niramit AS" w:hAnsi="TH Niramit AS" w:cs="TH Niramit AS"/>
            <w:sz w:val="32"/>
            <w:szCs w:val="32"/>
            <w:cs/>
          </w:rPr>
          <w:t>รู้ทันกันโกง ผลประโยชน์ทับซ้อน ภัยเงียบ ทำร้ายชาติ</w:t>
        </w:r>
      </w:hyperlink>
      <w:r w:rsidR="00BE6D39" w:rsidRPr="002E6686">
        <w:rPr>
          <w:rFonts w:ascii="TH Niramit AS" w:hAnsi="TH Niramit AS" w:cs="TH Niramit AS"/>
          <w:sz w:val="32"/>
          <w:szCs w:val="32"/>
          <w:cs/>
        </w:rPr>
        <w:t xml:space="preserve"> โดย ฝ่ายธรรมาภิบาล </w:t>
      </w:r>
      <w:r w:rsidR="002E6686">
        <w:rPr>
          <w:rFonts w:ascii="TH Niramit AS" w:hAnsi="TH Niramit AS" w:cs="TH Niramit AS"/>
          <w:sz w:val="32"/>
          <w:szCs w:val="32"/>
          <w:cs/>
        </w:rPr>
        <w:br/>
      </w:r>
      <w:r w:rsidR="00BE6D39" w:rsidRPr="002E6686">
        <w:rPr>
          <w:rFonts w:ascii="TH Niramit AS" w:hAnsi="TH Niramit AS" w:cs="TH Niramit AS"/>
          <w:sz w:val="32"/>
          <w:szCs w:val="32"/>
          <w:cs/>
        </w:rPr>
        <w:t>การประปานครหลวง</w:t>
      </w:r>
    </w:p>
    <w:p w14:paraId="64B4D26F" w14:textId="3634DDC2" w:rsidR="00BE6D39" w:rsidRPr="002E6686" w:rsidRDefault="00BE6D39" w:rsidP="002E6686">
      <w:pPr>
        <w:pStyle w:val="ListParagraph"/>
        <w:numPr>
          <w:ilvl w:val="1"/>
          <w:numId w:val="7"/>
        </w:numPr>
        <w:ind w:left="1560" w:hanging="426"/>
        <w:rPr>
          <w:rFonts w:ascii="TH Niramit AS" w:hAnsi="TH Niramit AS" w:cs="TH Niramit AS"/>
          <w:sz w:val="32"/>
          <w:szCs w:val="32"/>
        </w:rPr>
      </w:pPr>
      <w:r w:rsidRPr="002E6686">
        <w:rPr>
          <w:rFonts w:ascii="TH Niramit AS" w:hAnsi="TH Niramit AS" w:cs="TH Niramit AS"/>
          <w:sz w:val="32"/>
          <w:szCs w:val="32"/>
          <w:cs/>
        </w:rPr>
        <w:t xml:space="preserve">โดนัท (จิตสาธารณะ) ภาพยนตร์สั้น ภายใต้โครงการ กรุงเทพเมืองสีขาว หลักสูตร </w:t>
      </w:r>
      <w:hyperlink r:id="rId14" w:history="1">
        <w:r w:rsidRPr="00AF5EC5">
          <w:rPr>
            <w:rStyle w:val="Hyperlink"/>
            <w:rFonts w:ascii="TH Niramit AS" w:hAnsi="TH Niramit AS" w:cs="TH Niramit AS"/>
            <w:sz w:val="32"/>
            <w:szCs w:val="32"/>
            <w:cs/>
          </w:rPr>
          <w:t>"โตไปไม่โกง"</w:t>
        </w:r>
      </w:hyperlink>
    </w:p>
    <w:p w14:paraId="07F9E317" w14:textId="2BD287BD" w:rsidR="00BE6D39" w:rsidRPr="002E6686" w:rsidRDefault="00AF5EC5" w:rsidP="002E6686">
      <w:pPr>
        <w:pStyle w:val="ListParagraph"/>
        <w:numPr>
          <w:ilvl w:val="1"/>
          <w:numId w:val="7"/>
        </w:numPr>
        <w:ind w:left="1560" w:hanging="426"/>
        <w:rPr>
          <w:rFonts w:ascii="TH Niramit AS" w:hAnsi="TH Niramit AS" w:cs="TH Niramit AS"/>
          <w:sz w:val="32"/>
          <w:szCs w:val="32"/>
        </w:rPr>
      </w:pPr>
      <w:hyperlink r:id="rId15" w:history="1">
        <w:r w:rsidR="00BE6D39" w:rsidRPr="00AF5EC5">
          <w:rPr>
            <w:rStyle w:val="Hyperlink"/>
            <w:rFonts w:ascii="TH Niramit AS" w:hAnsi="TH Niramit AS" w:cs="TH Niramit AS"/>
            <w:sz w:val="32"/>
            <w:szCs w:val="32"/>
            <w:cs/>
          </w:rPr>
          <w:t>การขัดกันระหว่างประโยชน์ส่วนตนกับประโยชน์ส่วนรวม โดย ปปช.</w:t>
        </w:r>
      </w:hyperlink>
    </w:p>
    <w:p w14:paraId="18899903" w14:textId="17F04E5D" w:rsidR="00BE6D39" w:rsidRPr="002E6686" w:rsidRDefault="00BE6D39" w:rsidP="002E6686">
      <w:pPr>
        <w:pStyle w:val="ListParagraph"/>
        <w:numPr>
          <w:ilvl w:val="1"/>
          <w:numId w:val="7"/>
        </w:numPr>
        <w:ind w:left="1560" w:hanging="426"/>
        <w:rPr>
          <w:rFonts w:ascii="TH Niramit AS" w:hAnsi="TH Niramit AS" w:cs="TH Niramit AS"/>
          <w:sz w:val="32"/>
          <w:szCs w:val="32"/>
        </w:rPr>
      </w:pPr>
      <w:r w:rsidRPr="002E6686">
        <w:rPr>
          <w:rFonts w:ascii="TH Niramit AS" w:hAnsi="TH Niramit AS" w:cs="TH Niramit AS"/>
          <w:sz w:val="32"/>
          <w:szCs w:val="32"/>
          <w:cs/>
        </w:rPr>
        <w:t xml:space="preserve">มาตรา </w:t>
      </w:r>
      <w:r w:rsidRPr="002E6686">
        <w:rPr>
          <w:rFonts w:ascii="TH Niramit AS" w:hAnsi="TH Niramit AS" w:cs="TH Niramit AS"/>
          <w:sz w:val="32"/>
          <w:szCs w:val="32"/>
        </w:rPr>
        <w:t xml:space="preserve">128 </w:t>
      </w:r>
      <w:r w:rsidRPr="002E6686">
        <w:rPr>
          <w:rFonts w:ascii="TH Niramit AS" w:hAnsi="TH Niramit AS" w:cs="TH Niramit AS"/>
          <w:sz w:val="32"/>
          <w:szCs w:val="32"/>
          <w:cs/>
        </w:rPr>
        <w:t>ห้ามไม่ให้เจ้าพรักงานของรัฐ รับทรัพย์สิน หรือประโยชน์อื่นใดอันอาจคำนวนเป็นเงินได้ โดย ปปช.</w:t>
      </w:r>
    </w:p>
    <w:p w14:paraId="71BFCFA5" w14:textId="77777777" w:rsidR="00BE6D39" w:rsidRPr="00BE6D39" w:rsidRDefault="00BE6D39" w:rsidP="00BE6D39">
      <w:pPr>
        <w:ind w:firstLine="1134"/>
        <w:rPr>
          <w:rFonts w:ascii="TH Niramit AS" w:hAnsi="TH Niramit AS" w:cs="TH Niramit AS"/>
          <w:sz w:val="32"/>
          <w:szCs w:val="32"/>
        </w:rPr>
      </w:pPr>
    </w:p>
    <w:sectPr w:rsidR="00BE6D39" w:rsidRPr="00BE6D39" w:rsidSect="00A85466">
      <w:pgSz w:w="11906" w:h="16838" w:code="9"/>
      <w:pgMar w:top="1702" w:right="1133"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Niramit AS">
    <w:panose1 w:val="02000506000000020004"/>
    <w:charset w:val="00"/>
    <w:family w:val="auto"/>
    <w:pitch w:val="variable"/>
    <w:sig w:usb0="A100006F" w:usb1="5000204A" w:usb2="00000000" w:usb3="00000000" w:csb0="0001018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E0EE6"/>
    <w:multiLevelType w:val="hybridMultilevel"/>
    <w:tmpl w:val="DB167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4F421E"/>
    <w:multiLevelType w:val="hybridMultilevel"/>
    <w:tmpl w:val="0090D148"/>
    <w:lvl w:ilvl="0" w:tplc="E430ADA4">
      <w:start w:val="1"/>
      <w:numFmt w:val="decimal"/>
      <w:lvlText w:val="%1."/>
      <w:lvlJc w:val="left"/>
      <w:pPr>
        <w:ind w:left="720" w:hanging="360"/>
      </w:pPr>
      <w:rPr>
        <w:rFonts w:hint="default"/>
        <w:color w:val="0563C1" w:themeColor="hyperlink"/>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B33504"/>
    <w:multiLevelType w:val="hybridMultilevel"/>
    <w:tmpl w:val="3DC660CC"/>
    <w:lvl w:ilvl="0" w:tplc="04090001">
      <w:start w:val="1"/>
      <w:numFmt w:val="bullet"/>
      <w:lvlText w:val=""/>
      <w:lvlJc w:val="left"/>
      <w:pPr>
        <w:ind w:left="1854" w:hanging="360"/>
      </w:pPr>
      <w:rPr>
        <w:rFonts w:ascii="Symbol" w:hAnsi="Symbol" w:cs="Symbol"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522C2826"/>
    <w:multiLevelType w:val="hybridMultilevel"/>
    <w:tmpl w:val="A51CB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573DD5"/>
    <w:multiLevelType w:val="hybridMultilevel"/>
    <w:tmpl w:val="A1B886B2"/>
    <w:lvl w:ilvl="0" w:tplc="FFFFFFFF">
      <w:start w:val="1"/>
      <w:numFmt w:val="bullet"/>
      <w:lvlText w:val=""/>
      <w:lvlJc w:val="left"/>
      <w:pPr>
        <w:ind w:left="1854" w:hanging="360"/>
      </w:pPr>
      <w:rPr>
        <w:rFonts w:ascii="Symbol" w:hAnsi="Symbol" w:cs="Symbol" w:hint="default"/>
      </w:rPr>
    </w:lvl>
    <w:lvl w:ilvl="1" w:tplc="04090001">
      <w:start w:val="1"/>
      <w:numFmt w:val="bullet"/>
      <w:lvlText w:val=""/>
      <w:lvlJc w:val="left"/>
      <w:pPr>
        <w:ind w:left="2574" w:hanging="360"/>
      </w:pPr>
      <w:rPr>
        <w:rFonts w:ascii="Symbol" w:hAnsi="Symbol" w:cs="Symbol"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5" w15:restartNumberingAfterBreak="0">
    <w:nsid w:val="63D230C6"/>
    <w:multiLevelType w:val="hybridMultilevel"/>
    <w:tmpl w:val="8B9A3314"/>
    <w:lvl w:ilvl="0" w:tplc="0409000F">
      <w:start w:val="1"/>
      <w:numFmt w:val="decimal"/>
      <w:lvlText w:val="%1."/>
      <w:lvlJc w:val="left"/>
      <w:pPr>
        <w:ind w:left="2160" w:hanging="360"/>
      </w:pPr>
    </w:lvl>
    <w:lvl w:ilvl="1" w:tplc="D09C792A">
      <w:numFmt w:val="bullet"/>
      <w:lvlText w:val="-"/>
      <w:lvlJc w:val="left"/>
      <w:pPr>
        <w:ind w:left="2880" w:hanging="360"/>
      </w:pPr>
      <w:rPr>
        <w:rFonts w:ascii="TH Niramit AS" w:eastAsiaTheme="minorHAnsi" w:hAnsi="TH Niramit AS" w:cs="TH Niramit A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6ACF6446"/>
    <w:multiLevelType w:val="hybridMultilevel"/>
    <w:tmpl w:val="58B2239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91685384">
    <w:abstractNumId w:val="1"/>
  </w:num>
  <w:num w:numId="2" w16cid:durableId="1053624177">
    <w:abstractNumId w:val="3"/>
  </w:num>
  <w:num w:numId="3" w16cid:durableId="1694262299">
    <w:abstractNumId w:val="0"/>
  </w:num>
  <w:num w:numId="4" w16cid:durableId="560796263">
    <w:abstractNumId w:val="6"/>
  </w:num>
  <w:num w:numId="5" w16cid:durableId="1693343202">
    <w:abstractNumId w:val="5"/>
  </w:num>
  <w:num w:numId="6" w16cid:durableId="1633289821">
    <w:abstractNumId w:val="2"/>
  </w:num>
  <w:num w:numId="7" w16cid:durableId="17140389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43E"/>
    <w:rsid w:val="00015D33"/>
    <w:rsid w:val="00133D5A"/>
    <w:rsid w:val="002420A4"/>
    <w:rsid w:val="002B6211"/>
    <w:rsid w:val="002C46B8"/>
    <w:rsid w:val="002E267D"/>
    <w:rsid w:val="002E6686"/>
    <w:rsid w:val="002F0D0D"/>
    <w:rsid w:val="003157DA"/>
    <w:rsid w:val="0035177A"/>
    <w:rsid w:val="003C469B"/>
    <w:rsid w:val="0040355B"/>
    <w:rsid w:val="00714ABB"/>
    <w:rsid w:val="00741F10"/>
    <w:rsid w:val="00961659"/>
    <w:rsid w:val="0097648B"/>
    <w:rsid w:val="009D6A72"/>
    <w:rsid w:val="00A03EDC"/>
    <w:rsid w:val="00A1406B"/>
    <w:rsid w:val="00A4343E"/>
    <w:rsid w:val="00A85466"/>
    <w:rsid w:val="00A90927"/>
    <w:rsid w:val="00AF5EC5"/>
    <w:rsid w:val="00B057C9"/>
    <w:rsid w:val="00BE6D39"/>
    <w:rsid w:val="00CE2C00"/>
    <w:rsid w:val="00D36E00"/>
    <w:rsid w:val="00EB47B3"/>
    <w:rsid w:val="00EB4C07"/>
    <w:rsid w:val="00EB749A"/>
    <w:rsid w:val="00F969B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96C7"/>
  <w15:chartTrackingRefBased/>
  <w15:docId w15:val="{AAC0D616-430B-45AC-8D98-8BAD7F64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US" w:eastAsia="en-US" w:bidi="th-TH"/>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43E"/>
    <w:rPr>
      <w:kern w:val="0"/>
    </w:rPr>
  </w:style>
  <w:style w:type="paragraph" w:styleId="Heading1">
    <w:name w:val="heading 1"/>
    <w:basedOn w:val="Normal"/>
    <w:next w:val="Normal"/>
    <w:link w:val="Heading1Char"/>
    <w:uiPriority w:val="99"/>
    <w:qFormat/>
    <w:rsid w:val="00F969BD"/>
    <w:pPr>
      <w:keepNext/>
      <w:outlineLvl w:val="0"/>
    </w:pPr>
    <w:rPr>
      <w:rFonts w:ascii="Angsana New" w:eastAsia="Cordia New" w:hAnsi="Angsana New" w:cs="Angsana New"/>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43E"/>
    <w:rPr>
      <w:color w:val="0563C1" w:themeColor="hyperlink"/>
      <w:u w:val="single"/>
    </w:rPr>
  </w:style>
  <w:style w:type="paragraph" w:styleId="ListParagraph">
    <w:name w:val="List Paragraph"/>
    <w:basedOn w:val="Normal"/>
    <w:uiPriority w:val="34"/>
    <w:qFormat/>
    <w:rsid w:val="00A4343E"/>
    <w:pPr>
      <w:ind w:left="720"/>
      <w:contextualSpacing/>
    </w:pPr>
  </w:style>
  <w:style w:type="character" w:customStyle="1" w:styleId="stylehead">
    <w:name w:val="stylehead"/>
    <w:basedOn w:val="DefaultParagraphFont"/>
    <w:rsid w:val="00A4343E"/>
  </w:style>
  <w:style w:type="character" w:customStyle="1" w:styleId="Heading1Char">
    <w:name w:val="Heading 1 Char"/>
    <w:basedOn w:val="DefaultParagraphFont"/>
    <w:link w:val="Heading1"/>
    <w:uiPriority w:val="99"/>
    <w:rsid w:val="00F969BD"/>
    <w:rPr>
      <w:rFonts w:ascii="Angsana New" w:eastAsia="Cordia New" w:hAnsi="Angsana New" w:cs="Angsana New"/>
      <w:kern w:val="0"/>
      <w:sz w:val="32"/>
      <w:szCs w:val="32"/>
    </w:rPr>
  </w:style>
  <w:style w:type="table" w:customStyle="1" w:styleId="TableGrid12">
    <w:name w:val="Table Grid12"/>
    <w:basedOn w:val="TableNormal"/>
    <w:uiPriority w:val="59"/>
    <w:rsid w:val="00F969BD"/>
    <w:pPr>
      <w:jc w:val="thaiDistribute"/>
    </w:pPr>
    <w:rPr>
      <w:rFonts w:ascii="Calibri" w:eastAsia="TH Niramit AS" w:hAnsi="Calibri" w:cs="Cordia New"/>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46B8"/>
    <w:rPr>
      <w:rFonts w:ascii="Times New Roman" w:eastAsia="Times New Roman" w:hAnsi="Times New Roman" w:cs="Angsana New"/>
      <w:sz w:val="24"/>
      <w:szCs w:val="30"/>
      <w14:ligatures w14:val="none"/>
    </w:rPr>
  </w:style>
  <w:style w:type="character" w:styleId="Strong">
    <w:name w:val="Strong"/>
    <w:basedOn w:val="DefaultParagraphFont"/>
    <w:uiPriority w:val="22"/>
    <w:qFormat/>
    <w:rsid w:val="002C46B8"/>
    <w:rPr>
      <w:b/>
      <w:bCs/>
    </w:rPr>
  </w:style>
  <w:style w:type="character" w:styleId="UnresolvedMention">
    <w:name w:val="Unresolved Mention"/>
    <w:basedOn w:val="DefaultParagraphFont"/>
    <w:uiPriority w:val="99"/>
    <w:semiHidden/>
    <w:unhideWhenUsed/>
    <w:rsid w:val="00CE2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876829">
      <w:bodyDiv w:val="1"/>
      <w:marLeft w:val="0"/>
      <w:marRight w:val="0"/>
      <w:marTop w:val="0"/>
      <w:marBottom w:val="0"/>
      <w:divBdr>
        <w:top w:val="none" w:sz="0" w:space="0" w:color="auto"/>
        <w:left w:val="none" w:sz="0" w:space="0" w:color="auto"/>
        <w:bottom w:val="none" w:sz="0" w:space="0" w:color="auto"/>
        <w:right w:val="none" w:sz="0" w:space="0" w:color="auto"/>
      </w:divBdr>
    </w:div>
    <w:div w:id="156941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rsonnel.mju.ac.th/edoc/rules/22211.pdf" TargetMode="External"/><Relationship Id="rId13" Type="http://schemas.openxmlformats.org/officeDocument/2006/relationships/hyperlink" Target="https://www.facebook.com/SenateMJU/videos/1258272218375533" TargetMode="External"/><Relationship Id="rId3" Type="http://schemas.openxmlformats.org/officeDocument/2006/relationships/settings" Target="settings.xml"/><Relationship Id="rId7" Type="http://schemas.openxmlformats.org/officeDocument/2006/relationships/hyperlink" Target="http://personnel.mju.ac.th/edoc/rules/29813.pdf" TargetMode="External"/><Relationship Id="rId12" Type="http://schemas.openxmlformats.org/officeDocument/2006/relationships/hyperlink" Target="https://www.facebook.com/SenateMJU/videos/76091052850545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ersonnel.mju.ac.th/edoc/rules/19777.pdf" TargetMode="External"/><Relationship Id="rId11" Type="http://schemas.openxmlformats.org/officeDocument/2006/relationships/hyperlink" Target="https://www.youtube.com/watch?v=M44eztUdeMg" TargetMode="External"/><Relationship Id="rId5" Type="http://schemas.openxmlformats.org/officeDocument/2006/relationships/hyperlink" Target="https://personnel.mju.ac.th/edoc/rules/14115.pdf" TargetMode="External"/><Relationship Id="rId15" Type="http://schemas.openxmlformats.org/officeDocument/2006/relationships/hyperlink" Target="https://www.facebook.com/SenateMJU/videos/758628359223350" TargetMode="External"/><Relationship Id="rId10" Type="http://schemas.openxmlformats.org/officeDocument/2006/relationships/hyperlink" Target="https://www.youtube.com/watch?v=zdqA70Vl5yg&amp;feature=youtu.be" TargetMode="External"/><Relationship Id="rId4" Type="http://schemas.openxmlformats.org/officeDocument/2006/relationships/webSettings" Target="webSettings.xml"/><Relationship Id="rId9" Type="http://schemas.openxmlformats.org/officeDocument/2006/relationships/hyperlink" Target="https://council.mju.ac.th/goverment/20111119104835_2011_council/Doc_25601012230505_55695.pdf" TargetMode="External"/><Relationship Id="rId14" Type="http://schemas.openxmlformats.org/officeDocument/2006/relationships/hyperlink" Target="https://www.facebook.com/SenateMJU/videos/116529714700645"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Judarad Chittong</dc:creator>
  <cp:keywords/>
  <dc:description/>
  <cp:lastModifiedBy>Judarad Chittong</cp:lastModifiedBy>
  <cp:revision>6</cp:revision>
  <dcterms:created xsi:type="dcterms:W3CDTF">2023-04-05T08:57:00Z</dcterms:created>
  <dcterms:modified xsi:type="dcterms:W3CDTF">2024-04-02T03:32:00Z</dcterms:modified>
</cp:coreProperties>
</file>